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33F" w:rsidRPr="00B30C20" w:rsidRDefault="00FD033F" w:rsidP="00FD033F">
      <w:pPr>
        <w:spacing w:line="240" w:lineRule="auto"/>
        <w:ind w:right="282"/>
        <w:contextualSpacing/>
        <w:jc w:val="right"/>
        <w:rPr>
          <w:rFonts w:ascii="Times New Roman" w:hAnsi="Times New Roman" w:cs="Times New Roman"/>
        </w:rPr>
      </w:pPr>
      <w:r w:rsidRPr="00B30C20">
        <w:rPr>
          <w:rFonts w:ascii="Times New Roman" w:hAnsi="Times New Roman" w:cs="Times New Roman"/>
        </w:rPr>
        <w:t xml:space="preserve">«УТВЕРЖДЕНО» </w:t>
      </w:r>
    </w:p>
    <w:p w:rsidR="00FD033F" w:rsidRPr="00B30C20" w:rsidRDefault="00FD033F" w:rsidP="00FD033F">
      <w:pPr>
        <w:pStyle w:val="af6"/>
        <w:ind w:right="282"/>
        <w:contextualSpacing/>
        <w:jc w:val="right"/>
        <w:rPr>
          <w:rFonts w:ascii="Times New Roman" w:hAnsi="Times New Roman" w:cs="Times New Roman"/>
          <w:sz w:val="22"/>
          <w:szCs w:val="22"/>
        </w:rPr>
      </w:pPr>
      <w:r w:rsidRPr="00B30C20">
        <w:rPr>
          <w:rFonts w:ascii="Times New Roman" w:hAnsi="Times New Roman" w:cs="Times New Roman"/>
          <w:sz w:val="22"/>
          <w:szCs w:val="22"/>
        </w:rPr>
        <w:t>Правлением АКБ «Держава» ПАО</w:t>
      </w:r>
    </w:p>
    <w:p w:rsidR="00FD033F" w:rsidRPr="00B30C20" w:rsidRDefault="00FD033F" w:rsidP="00FD033F">
      <w:pPr>
        <w:pStyle w:val="af6"/>
        <w:ind w:right="282"/>
        <w:contextualSpacing/>
        <w:jc w:val="right"/>
        <w:rPr>
          <w:rFonts w:ascii="Times New Roman" w:hAnsi="Times New Roman" w:cs="Times New Roman"/>
          <w:sz w:val="22"/>
          <w:szCs w:val="22"/>
        </w:rPr>
      </w:pPr>
      <w:r w:rsidRPr="00B30C20">
        <w:rPr>
          <w:rFonts w:ascii="Times New Roman" w:hAnsi="Times New Roman" w:cs="Times New Roman"/>
          <w:sz w:val="22"/>
          <w:szCs w:val="22"/>
        </w:rPr>
        <w:t>Протокол от «</w:t>
      </w:r>
      <w:r w:rsidRPr="00FD033F">
        <w:rPr>
          <w:rFonts w:ascii="Times New Roman" w:hAnsi="Times New Roman" w:cs="Times New Roman"/>
          <w:sz w:val="22"/>
          <w:szCs w:val="22"/>
        </w:rPr>
        <w:t>13</w:t>
      </w:r>
      <w:r w:rsidRPr="00B30C20">
        <w:rPr>
          <w:rFonts w:ascii="Times New Roman" w:hAnsi="Times New Roman" w:cs="Times New Roman"/>
          <w:sz w:val="22"/>
          <w:szCs w:val="22"/>
        </w:rPr>
        <w:t xml:space="preserve">» </w:t>
      </w:r>
      <w:r>
        <w:rPr>
          <w:rFonts w:ascii="Times New Roman" w:hAnsi="Times New Roman" w:cs="Times New Roman"/>
          <w:sz w:val="22"/>
          <w:szCs w:val="22"/>
        </w:rPr>
        <w:t>июня</w:t>
      </w:r>
      <w:r w:rsidRPr="00B30C20">
        <w:rPr>
          <w:rFonts w:ascii="Times New Roman" w:hAnsi="Times New Roman" w:cs="Times New Roman"/>
          <w:sz w:val="22"/>
          <w:szCs w:val="22"/>
        </w:rPr>
        <w:t xml:space="preserve"> 2023 г.</w:t>
      </w:r>
    </w:p>
    <w:p w:rsidR="00DE6DCF" w:rsidRPr="00B30C20" w:rsidRDefault="00DE6DCF" w:rsidP="00DE6DCF">
      <w:pPr>
        <w:ind w:right="282"/>
        <w:contextualSpacing/>
        <w:jc w:val="center"/>
        <w:rPr>
          <w:rFonts w:ascii="Times New Roman" w:hAnsi="Times New Roman" w:cs="Times New Roman"/>
          <w:b/>
          <w:sz w:val="20"/>
          <w:szCs w:val="20"/>
        </w:rPr>
      </w:pPr>
      <w:bookmarkStart w:id="0" w:name="_GoBack"/>
      <w:bookmarkEnd w:id="0"/>
    </w:p>
    <w:p w:rsidR="000E278B" w:rsidRDefault="000E278B" w:rsidP="00DE6DCF">
      <w:pPr>
        <w:ind w:right="282"/>
        <w:contextualSpacing/>
        <w:jc w:val="center"/>
        <w:rPr>
          <w:rFonts w:ascii="Times New Roman" w:hAnsi="Times New Roman" w:cs="Times New Roman"/>
          <w:b/>
          <w:sz w:val="21"/>
          <w:szCs w:val="21"/>
        </w:rPr>
      </w:pPr>
    </w:p>
    <w:p w:rsidR="00DE6DCF" w:rsidRDefault="00DE6DCF" w:rsidP="00DE6DCF">
      <w:pPr>
        <w:ind w:right="282"/>
        <w:contextualSpacing/>
        <w:jc w:val="center"/>
        <w:rPr>
          <w:rFonts w:ascii="Times New Roman" w:hAnsi="Times New Roman" w:cs="Times New Roman"/>
          <w:b/>
          <w:sz w:val="21"/>
          <w:szCs w:val="21"/>
        </w:rPr>
      </w:pPr>
      <w:r w:rsidRPr="00B30C20">
        <w:rPr>
          <w:rFonts w:ascii="Times New Roman" w:hAnsi="Times New Roman" w:cs="Times New Roman"/>
          <w:b/>
          <w:sz w:val="21"/>
          <w:szCs w:val="21"/>
        </w:rPr>
        <w:t>Тарифы АКБ «Держава» ПАО по брокерскому обслуживанию</w:t>
      </w:r>
    </w:p>
    <w:p w:rsidR="0070051F" w:rsidRPr="00B30C20" w:rsidRDefault="0070051F" w:rsidP="00DE6DCF">
      <w:pPr>
        <w:ind w:right="282"/>
        <w:contextualSpacing/>
        <w:jc w:val="center"/>
        <w:rPr>
          <w:rFonts w:ascii="Times New Roman" w:hAnsi="Times New Roman" w:cs="Times New Roman"/>
          <w:b/>
          <w:sz w:val="21"/>
          <w:szCs w:val="21"/>
        </w:rPr>
      </w:pPr>
      <w:r>
        <w:rPr>
          <w:rFonts w:ascii="Times New Roman" w:hAnsi="Times New Roman" w:cs="Times New Roman"/>
          <w:b/>
          <w:sz w:val="21"/>
          <w:szCs w:val="21"/>
        </w:rPr>
        <w:t>Действуют с «01» июля 2023 г.</w:t>
      </w:r>
    </w:p>
    <w:p w:rsidR="007E398D" w:rsidRPr="00B30C20" w:rsidRDefault="007E398D" w:rsidP="006859BE">
      <w:pPr>
        <w:pStyle w:val="21"/>
        <w:tabs>
          <w:tab w:val="left" w:pos="6237"/>
        </w:tabs>
        <w:ind w:right="282"/>
        <w:rPr>
          <w:sz w:val="21"/>
          <w:szCs w:val="21"/>
        </w:rPr>
      </w:pPr>
      <w:r w:rsidRPr="00B30C20">
        <w:rPr>
          <w:sz w:val="21"/>
          <w:szCs w:val="21"/>
        </w:rPr>
        <w:t>Брокерское вознаграждение Банка не включает вознаграждение сторонних депозитариев, клиринговых организаций, торговых систем или иных третьих лиц, участие которых необходимо для исполнения поручений Клиента. Возмещение расходов, понесенных Банком при исполнении поручений Клиента, производится по установленным такими третьими лицами ставкам путем списания суммы денежных средств с Брокерского счета Клиента на условиях заранее данного акцепта, либо, при недостаточности средств, путем перечисления Клиентом необходимой суммы денежных средств по указанным Банком реквизитам.</w:t>
      </w:r>
    </w:p>
    <w:p w:rsidR="004C661F" w:rsidRPr="00B30C20" w:rsidRDefault="004C661F" w:rsidP="006859BE">
      <w:pPr>
        <w:pStyle w:val="21"/>
        <w:tabs>
          <w:tab w:val="left" w:pos="6237"/>
        </w:tabs>
        <w:ind w:right="282"/>
        <w:rPr>
          <w:sz w:val="21"/>
          <w:szCs w:val="21"/>
        </w:rPr>
      </w:pPr>
      <w:r w:rsidRPr="00B30C20">
        <w:rPr>
          <w:sz w:val="21"/>
          <w:szCs w:val="21"/>
        </w:rPr>
        <w:t xml:space="preserve">Вознаграждение Банка, рассчитанное в иностранной валюте, </w:t>
      </w:r>
      <w:r w:rsidR="00E36B17" w:rsidRPr="00B30C20">
        <w:rPr>
          <w:sz w:val="21"/>
          <w:szCs w:val="21"/>
        </w:rPr>
        <w:t xml:space="preserve">может </w:t>
      </w:r>
      <w:r w:rsidR="0068367E" w:rsidRPr="00B30C20">
        <w:rPr>
          <w:sz w:val="21"/>
          <w:szCs w:val="21"/>
        </w:rPr>
        <w:t>списыва</w:t>
      </w:r>
      <w:r w:rsidRPr="00B30C20">
        <w:rPr>
          <w:sz w:val="21"/>
          <w:szCs w:val="21"/>
        </w:rPr>
        <w:t>т</w:t>
      </w:r>
      <w:r w:rsidR="00E36B17" w:rsidRPr="00B30C20">
        <w:rPr>
          <w:sz w:val="21"/>
          <w:szCs w:val="21"/>
        </w:rPr>
        <w:t>ь</w:t>
      </w:r>
      <w:r w:rsidRPr="00B30C20">
        <w:rPr>
          <w:sz w:val="21"/>
          <w:szCs w:val="21"/>
        </w:rPr>
        <w:t xml:space="preserve">ся Банком </w:t>
      </w:r>
      <w:r w:rsidR="00817472" w:rsidRPr="00B30C20">
        <w:rPr>
          <w:sz w:val="21"/>
          <w:szCs w:val="21"/>
        </w:rPr>
        <w:t xml:space="preserve">как в </w:t>
      </w:r>
      <w:r w:rsidR="004E4A88" w:rsidRPr="00B30C20">
        <w:rPr>
          <w:sz w:val="21"/>
          <w:szCs w:val="21"/>
        </w:rPr>
        <w:t xml:space="preserve">иностранной </w:t>
      </w:r>
      <w:r w:rsidR="00817472" w:rsidRPr="00B30C20">
        <w:rPr>
          <w:sz w:val="21"/>
          <w:szCs w:val="21"/>
        </w:rPr>
        <w:t>валюте</w:t>
      </w:r>
      <w:r w:rsidR="004E4A88" w:rsidRPr="00B30C20">
        <w:rPr>
          <w:sz w:val="21"/>
          <w:szCs w:val="21"/>
        </w:rPr>
        <w:t xml:space="preserve">, так и </w:t>
      </w:r>
      <w:r w:rsidRPr="00B30C20">
        <w:rPr>
          <w:sz w:val="21"/>
          <w:szCs w:val="21"/>
        </w:rPr>
        <w:t xml:space="preserve">в рублях Российской Федерации по курсу Центрального банка Российской Федерации, установленному на дату расчета. </w:t>
      </w:r>
    </w:p>
    <w:p w:rsidR="004C661F" w:rsidRPr="00B30C20" w:rsidRDefault="004C661F" w:rsidP="006859BE">
      <w:pPr>
        <w:pStyle w:val="21"/>
        <w:tabs>
          <w:tab w:val="left" w:pos="6237"/>
        </w:tabs>
        <w:ind w:right="282"/>
        <w:rPr>
          <w:sz w:val="21"/>
          <w:szCs w:val="21"/>
        </w:rPr>
      </w:pPr>
      <w:r w:rsidRPr="00B30C20">
        <w:rPr>
          <w:sz w:val="21"/>
          <w:szCs w:val="21"/>
        </w:rPr>
        <w:t xml:space="preserve">Торговый оборот (оборот) за период рассчитывается как сумма всех сделок, заключенных по поручениям за указанный период. </w:t>
      </w:r>
    </w:p>
    <w:p w:rsidR="007E398D" w:rsidRPr="00B30C20" w:rsidRDefault="00383F6D" w:rsidP="00B30C20">
      <w:pPr>
        <w:ind w:right="282" w:firstLine="567"/>
        <w:contextualSpacing/>
        <w:jc w:val="both"/>
        <w:rPr>
          <w:rFonts w:ascii="Times New Roman" w:hAnsi="Times New Roman" w:cs="Times New Roman"/>
          <w:sz w:val="21"/>
          <w:szCs w:val="21"/>
        </w:rPr>
      </w:pPr>
      <w:r w:rsidRPr="00B30C20">
        <w:rPr>
          <w:rFonts w:ascii="Times New Roman" w:hAnsi="Times New Roman" w:cs="Times New Roman"/>
          <w:b/>
          <w:sz w:val="21"/>
          <w:szCs w:val="21"/>
        </w:rPr>
        <w:t>Тарифные планы для клиентов физических лиц устанавливаются Банком в индивидуальн</w:t>
      </w:r>
      <w:r w:rsidR="0060558D" w:rsidRPr="00B30C20">
        <w:rPr>
          <w:rFonts w:ascii="Times New Roman" w:hAnsi="Times New Roman" w:cs="Times New Roman"/>
          <w:b/>
          <w:sz w:val="21"/>
          <w:szCs w:val="21"/>
        </w:rPr>
        <w:t>о</w:t>
      </w:r>
      <w:r w:rsidRPr="00B30C20">
        <w:rPr>
          <w:rFonts w:ascii="Times New Roman" w:hAnsi="Times New Roman" w:cs="Times New Roman"/>
          <w:b/>
          <w:sz w:val="21"/>
          <w:szCs w:val="21"/>
        </w:rPr>
        <w:t>м порядке.</w:t>
      </w:r>
    </w:p>
    <w:p w:rsidR="007E398D" w:rsidRPr="00B30C20" w:rsidRDefault="007E398D">
      <w:pPr>
        <w:contextualSpacing/>
        <w:jc w:val="center"/>
        <w:rPr>
          <w:rFonts w:ascii="Times New Roman" w:hAnsi="Times New Roman" w:cs="Times New Roman"/>
          <w:b/>
          <w:sz w:val="21"/>
          <w:szCs w:val="21"/>
        </w:rPr>
      </w:pPr>
      <w:r w:rsidRPr="00B30C20">
        <w:rPr>
          <w:rFonts w:ascii="Times New Roman" w:hAnsi="Times New Roman" w:cs="Times New Roman"/>
          <w:b/>
          <w:sz w:val="21"/>
          <w:szCs w:val="21"/>
        </w:rPr>
        <w:t>Тарифный план «Торговый»</w:t>
      </w:r>
    </w:p>
    <w:p w:rsidR="00412709" w:rsidRPr="00B30C20" w:rsidRDefault="00412709">
      <w:pPr>
        <w:contextualSpacing/>
        <w:jc w:val="center"/>
        <w:rPr>
          <w:rFonts w:ascii="Times New Roman" w:hAnsi="Times New Roman" w:cs="Times New Roman"/>
          <w:sz w:val="21"/>
          <w:szCs w:val="21"/>
        </w:rPr>
      </w:pPr>
      <w:r w:rsidRPr="00B30C20">
        <w:rPr>
          <w:rFonts w:ascii="Times New Roman" w:hAnsi="Times New Roman" w:cs="Times New Roman"/>
          <w:sz w:val="21"/>
          <w:szCs w:val="21"/>
        </w:rPr>
        <w:t xml:space="preserve">Условия применения Тарифного плана: </w:t>
      </w:r>
      <w:r w:rsidRPr="00B30C20">
        <w:rPr>
          <w:rFonts w:ascii="Times New Roman" w:hAnsi="Times New Roman" w:cs="Times New Roman"/>
          <w:b/>
          <w:sz w:val="21"/>
          <w:szCs w:val="21"/>
        </w:rPr>
        <w:t>только для юридических лиц.</w:t>
      </w:r>
    </w:p>
    <w:tbl>
      <w:tblPr>
        <w:tblStyle w:val="a3"/>
        <w:tblW w:w="10173" w:type="dxa"/>
        <w:tblLook w:val="04A0" w:firstRow="1" w:lastRow="0" w:firstColumn="1" w:lastColumn="0" w:noHBand="0" w:noVBand="1"/>
      </w:tblPr>
      <w:tblGrid>
        <w:gridCol w:w="3178"/>
        <w:gridCol w:w="3075"/>
        <w:gridCol w:w="3920"/>
      </w:tblGrid>
      <w:tr w:rsidR="007E398D" w:rsidRPr="00B30C20" w:rsidTr="007A001E">
        <w:trPr>
          <w:trHeight w:val="690"/>
        </w:trPr>
        <w:tc>
          <w:tcPr>
            <w:tcW w:w="3178" w:type="dxa"/>
            <w:tcBorders>
              <w:bottom w:val="single" w:sz="4" w:space="0" w:color="auto"/>
            </w:tcBorders>
          </w:tcPr>
          <w:p w:rsidR="007E398D" w:rsidRPr="00B30C20" w:rsidRDefault="007E398D" w:rsidP="007E398D">
            <w:pPr>
              <w:contextualSpacing/>
              <w:jc w:val="center"/>
              <w:rPr>
                <w:rFonts w:ascii="Times New Roman" w:hAnsi="Times New Roman" w:cs="Times New Roman"/>
                <w:sz w:val="21"/>
                <w:szCs w:val="21"/>
              </w:rPr>
            </w:pPr>
            <w:r w:rsidRPr="00B30C20">
              <w:rPr>
                <w:rFonts w:ascii="Times New Roman" w:hAnsi="Times New Roman" w:cs="Times New Roman"/>
                <w:sz w:val="21"/>
                <w:szCs w:val="21"/>
              </w:rPr>
              <w:t>Место совершения операций (Рынок инструмента), тип сделки</w:t>
            </w:r>
            <w:r w:rsidR="008A170F" w:rsidRPr="00B30C20">
              <w:rPr>
                <w:rFonts w:ascii="Times New Roman" w:hAnsi="Times New Roman" w:cs="Times New Roman"/>
                <w:sz w:val="21"/>
                <w:szCs w:val="21"/>
              </w:rPr>
              <w:t>, режим торгов</w:t>
            </w:r>
          </w:p>
        </w:tc>
        <w:tc>
          <w:tcPr>
            <w:tcW w:w="3075" w:type="dxa"/>
            <w:tcBorders>
              <w:bottom w:val="single" w:sz="4" w:space="0" w:color="auto"/>
            </w:tcBorders>
          </w:tcPr>
          <w:p w:rsidR="0068367E" w:rsidRPr="00B30C20" w:rsidRDefault="0068367E">
            <w:pPr>
              <w:contextualSpacing/>
              <w:jc w:val="center"/>
              <w:rPr>
                <w:rFonts w:ascii="Times New Roman" w:hAnsi="Times New Roman" w:cs="Times New Roman"/>
                <w:sz w:val="21"/>
                <w:szCs w:val="21"/>
              </w:rPr>
            </w:pPr>
            <w:r w:rsidRPr="00B30C20">
              <w:rPr>
                <w:rFonts w:ascii="Times New Roman" w:hAnsi="Times New Roman" w:cs="Times New Roman"/>
                <w:sz w:val="21"/>
                <w:szCs w:val="21"/>
              </w:rPr>
              <w:t xml:space="preserve">Брокерское вознаграждение / </w:t>
            </w:r>
          </w:p>
          <w:p w:rsidR="007E398D" w:rsidRPr="00B30C20" w:rsidRDefault="007E398D">
            <w:pPr>
              <w:contextualSpacing/>
              <w:jc w:val="center"/>
              <w:rPr>
                <w:rFonts w:ascii="Times New Roman" w:hAnsi="Times New Roman" w:cs="Times New Roman"/>
                <w:sz w:val="21"/>
                <w:szCs w:val="21"/>
              </w:rPr>
            </w:pPr>
            <w:r w:rsidRPr="00B30C20">
              <w:rPr>
                <w:rFonts w:ascii="Times New Roman" w:hAnsi="Times New Roman" w:cs="Times New Roman"/>
                <w:sz w:val="21"/>
                <w:szCs w:val="21"/>
              </w:rPr>
              <w:t>порядок расчета</w:t>
            </w:r>
          </w:p>
        </w:tc>
        <w:tc>
          <w:tcPr>
            <w:tcW w:w="3920" w:type="dxa"/>
            <w:tcBorders>
              <w:bottom w:val="single" w:sz="4" w:space="0" w:color="auto"/>
            </w:tcBorders>
          </w:tcPr>
          <w:p w:rsidR="007E398D" w:rsidRPr="00B30C20" w:rsidRDefault="007E398D">
            <w:pPr>
              <w:contextualSpacing/>
              <w:jc w:val="center"/>
              <w:rPr>
                <w:rFonts w:ascii="Times New Roman" w:hAnsi="Times New Roman" w:cs="Times New Roman"/>
                <w:sz w:val="21"/>
                <w:szCs w:val="21"/>
              </w:rPr>
            </w:pPr>
            <w:r w:rsidRPr="00B30C20">
              <w:rPr>
                <w:rFonts w:ascii="Times New Roman" w:hAnsi="Times New Roman" w:cs="Times New Roman"/>
                <w:sz w:val="21"/>
                <w:szCs w:val="21"/>
              </w:rPr>
              <w:t>Особые условия</w:t>
            </w:r>
          </w:p>
        </w:tc>
      </w:tr>
      <w:tr w:rsidR="009125E4" w:rsidRPr="00B30C20" w:rsidTr="007A001E">
        <w:trPr>
          <w:trHeight w:val="230"/>
        </w:trPr>
        <w:tc>
          <w:tcPr>
            <w:tcW w:w="10173" w:type="dxa"/>
            <w:gridSpan w:val="3"/>
            <w:shd w:val="clear" w:color="auto" w:fill="auto"/>
          </w:tcPr>
          <w:p w:rsidR="009125E4" w:rsidRPr="00B30C20" w:rsidRDefault="009125E4">
            <w:pPr>
              <w:contextualSpacing/>
              <w:jc w:val="center"/>
              <w:rPr>
                <w:rFonts w:ascii="Times New Roman" w:hAnsi="Times New Roman" w:cs="Times New Roman"/>
                <w:b/>
                <w:color w:val="993366"/>
                <w:sz w:val="21"/>
                <w:szCs w:val="21"/>
              </w:rPr>
            </w:pPr>
            <w:r w:rsidRPr="00B30C20">
              <w:rPr>
                <w:rFonts w:ascii="Times New Roman" w:hAnsi="Times New Roman" w:cs="Times New Roman"/>
                <w:b/>
                <w:color w:val="993366"/>
                <w:sz w:val="21"/>
                <w:szCs w:val="21"/>
              </w:rPr>
              <w:t>Фондовый рынок</w:t>
            </w:r>
          </w:p>
        </w:tc>
      </w:tr>
      <w:tr w:rsidR="007E398D" w:rsidRPr="00B30C20" w:rsidTr="007A001E">
        <w:trPr>
          <w:trHeight w:val="805"/>
        </w:trPr>
        <w:tc>
          <w:tcPr>
            <w:tcW w:w="3178" w:type="dxa"/>
          </w:tcPr>
          <w:p w:rsidR="007E398D" w:rsidRPr="00B30C20" w:rsidRDefault="00A91FAC" w:rsidP="00D14134">
            <w:pPr>
              <w:contextualSpacing/>
              <w:rPr>
                <w:rFonts w:ascii="Times New Roman" w:hAnsi="Times New Roman" w:cs="Times New Roman"/>
                <w:sz w:val="21"/>
                <w:szCs w:val="21"/>
              </w:rPr>
            </w:pPr>
            <w:r w:rsidRPr="00B30C20">
              <w:rPr>
                <w:rFonts w:ascii="Times New Roman" w:hAnsi="Times New Roman" w:cs="Times New Roman"/>
                <w:sz w:val="21"/>
                <w:szCs w:val="21"/>
              </w:rPr>
              <w:t>Купля/продажа</w:t>
            </w:r>
            <w:r w:rsidR="00100840" w:rsidRPr="00B30C20">
              <w:rPr>
                <w:rFonts w:ascii="Times New Roman" w:hAnsi="Times New Roman" w:cs="Times New Roman"/>
                <w:sz w:val="21"/>
                <w:szCs w:val="21"/>
              </w:rPr>
              <w:t xml:space="preserve"> ценных бумаг</w:t>
            </w:r>
          </w:p>
        </w:tc>
        <w:tc>
          <w:tcPr>
            <w:tcW w:w="3075" w:type="dxa"/>
          </w:tcPr>
          <w:p w:rsidR="007E398D" w:rsidRPr="00B30C20" w:rsidRDefault="007E398D" w:rsidP="00A91FAC">
            <w:pPr>
              <w:contextualSpacing/>
              <w:jc w:val="center"/>
              <w:rPr>
                <w:rFonts w:ascii="Times New Roman" w:hAnsi="Times New Roman" w:cs="Times New Roman"/>
                <w:sz w:val="21"/>
                <w:szCs w:val="21"/>
              </w:rPr>
            </w:pPr>
            <w:r w:rsidRPr="00B30C20">
              <w:rPr>
                <w:rFonts w:ascii="Times New Roman" w:hAnsi="Times New Roman" w:cs="Times New Roman"/>
                <w:sz w:val="21"/>
                <w:szCs w:val="21"/>
              </w:rPr>
              <w:t xml:space="preserve">0,1% от </w:t>
            </w:r>
            <w:r w:rsidR="00A91FAC" w:rsidRPr="00B30C20">
              <w:rPr>
                <w:rFonts w:ascii="Times New Roman" w:hAnsi="Times New Roman" w:cs="Times New Roman"/>
                <w:sz w:val="21"/>
                <w:szCs w:val="21"/>
              </w:rPr>
              <w:t>объема операции</w:t>
            </w:r>
          </w:p>
        </w:tc>
        <w:tc>
          <w:tcPr>
            <w:tcW w:w="3920" w:type="dxa"/>
          </w:tcPr>
          <w:p w:rsidR="004C661F" w:rsidRPr="00B30C20" w:rsidRDefault="00E82097" w:rsidP="007A001E">
            <w:pPr>
              <w:contextualSpacing/>
              <w:rPr>
                <w:rFonts w:ascii="Times New Roman" w:hAnsi="Times New Roman" w:cs="Times New Roman"/>
                <w:sz w:val="21"/>
                <w:szCs w:val="21"/>
              </w:rPr>
            </w:pPr>
            <w:r w:rsidRPr="00B30C20">
              <w:rPr>
                <w:rFonts w:ascii="Times New Roman" w:hAnsi="Times New Roman" w:cs="Times New Roman"/>
                <w:sz w:val="21"/>
                <w:szCs w:val="21"/>
              </w:rPr>
              <w:t xml:space="preserve">Вознаграждение </w:t>
            </w:r>
            <w:r w:rsidR="0068367E" w:rsidRPr="00B30C20">
              <w:rPr>
                <w:rFonts w:ascii="Times New Roman" w:hAnsi="Times New Roman" w:cs="Times New Roman"/>
                <w:sz w:val="21"/>
                <w:szCs w:val="21"/>
              </w:rPr>
              <w:t>списывае</w:t>
            </w:r>
            <w:r w:rsidRPr="00B30C20">
              <w:rPr>
                <w:rFonts w:ascii="Times New Roman" w:hAnsi="Times New Roman" w:cs="Times New Roman"/>
                <w:sz w:val="21"/>
                <w:szCs w:val="21"/>
              </w:rPr>
              <w:t xml:space="preserve">тся </w:t>
            </w:r>
            <w:r w:rsidR="0068367E" w:rsidRPr="00B30C20">
              <w:rPr>
                <w:rFonts w:ascii="Times New Roman" w:hAnsi="Times New Roman" w:cs="Times New Roman"/>
                <w:sz w:val="21"/>
                <w:szCs w:val="21"/>
              </w:rPr>
              <w:t>по каждой</w:t>
            </w:r>
            <w:r w:rsidRPr="00B30C20">
              <w:rPr>
                <w:rFonts w:ascii="Times New Roman" w:hAnsi="Times New Roman" w:cs="Times New Roman"/>
                <w:sz w:val="21"/>
                <w:szCs w:val="21"/>
              </w:rPr>
              <w:t xml:space="preserve"> сделк</w:t>
            </w:r>
            <w:r w:rsidR="0068367E" w:rsidRPr="00B30C20">
              <w:rPr>
                <w:rFonts w:ascii="Times New Roman" w:hAnsi="Times New Roman" w:cs="Times New Roman"/>
                <w:sz w:val="21"/>
                <w:szCs w:val="21"/>
              </w:rPr>
              <w:t>е</w:t>
            </w:r>
            <w:r w:rsidR="006630D4" w:rsidRPr="00B30C20">
              <w:rPr>
                <w:rFonts w:ascii="Times New Roman" w:hAnsi="Times New Roman" w:cs="Times New Roman"/>
                <w:sz w:val="21"/>
                <w:szCs w:val="21"/>
              </w:rPr>
              <w:t xml:space="preserve"> в дату </w:t>
            </w:r>
            <w:r w:rsidR="002A21C1" w:rsidRPr="00B30C20">
              <w:rPr>
                <w:rFonts w:ascii="Times New Roman" w:hAnsi="Times New Roman" w:cs="Times New Roman"/>
                <w:sz w:val="21"/>
                <w:szCs w:val="21"/>
              </w:rPr>
              <w:t>совершения денежных расчетов по сделке.</w:t>
            </w:r>
            <w:r w:rsidR="002A21C1" w:rsidRPr="00B30C20" w:rsidDel="002A21C1">
              <w:rPr>
                <w:rFonts w:ascii="Times New Roman" w:hAnsi="Times New Roman" w:cs="Times New Roman"/>
                <w:sz w:val="21"/>
                <w:szCs w:val="21"/>
              </w:rPr>
              <w:t xml:space="preserve"> </w:t>
            </w:r>
          </w:p>
        </w:tc>
      </w:tr>
      <w:tr w:rsidR="003C2D2D" w:rsidRPr="00B30C20" w:rsidTr="007A001E">
        <w:trPr>
          <w:trHeight w:val="2548"/>
        </w:trPr>
        <w:tc>
          <w:tcPr>
            <w:tcW w:w="3178" w:type="dxa"/>
            <w:tcBorders>
              <w:bottom w:val="single" w:sz="4" w:space="0" w:color="auto"/>
            </w:tcBorders>
          </w:tcPr>
          <w:p w:rsidR="003C2D2D" w:rsidRPr="00B30C20" w:rsidRDefault="006859BE" w:rsidP="007A001E">
            <w:pPr>
              <w:contextualSpacing/>
              <w:rPr>
                <w:rFonts w:ascii="Times New Roman" w:hAnsi="Times New Roman" w:cs="Times New Roman"/>
                <w:sz w:val="21"/>
                <w:szCs w:val="21"/>
              </w:rPr>
            </w:pPr>
            <w:r w:rsidRPr="00B30C20">
              <w:rPr>
                <w:rFonts w:ascii="Times New Roman" w:hAnsi="Times New Roman" w:cs="Times New Roman"/>
                <w:sz w:val="21"/>
                <w:szCs w:val="21"/>
              </w:rPr>
              <w:t xml:space="preserve">Операции </w:t>
            </w:r>
            <w:r w:rsidR="003C2D2D" w:rsidRPr="00B30C20">
              <w:rPr>
                <w:rFonts w:ascii="Times New Roman" w:hAnsi="Times New Roman" w:cs="Times New Roman"/>
                <w:sz w:val="21"/>
                <w:szCs w:val="21"/>
              </w:rPr>
              <w:t xml:space="preserve">РЕПО </w:t>
            </w:r>
          </w:p>
        </w:tc>
        <w:tc>
          <w:tcPr>
            <w:tcW w:w="3075" w:type="dxa"/>
            <w:tcBorders>
              <w:bottom w:val="single" w:sz="4" w:space="0" w:color="auto"/>
            </w:tcBorders>
          </w:tcPr>
          <w:p w:rsidR="003C2D2D" w:rsidRPr="00B30C20" w:rsidRDefault="00443107" w:rsidP="00443107">
            <w:pPr>
              <w:contextualSpacing/>
              <w:jc w:val="center"/>
              <w:rPr>
                <w:rFonts w:ascii="Times New Roman" w:hAnsi="Times New Roman" w:cs="Times New Roman"/>
                <w:sz w:val="21"/>
                <w:szCs w:val="21"/>
              </w:rPr>
            </w:pPr>
            <w:r>
              <w:rPr>
                <w:rFonts w:ascii="Times New Roman" w:hAnsi="Times New Roman"/>
                <w:sz w:val="21"/>
                <w:szCs w:val="21"/>
              </w:rPr>
              <w:t>0,5</w:t>
            </w:r>
            <w:r w:rsidR="003C2D2D" w:rsidRPr="00B30C20">
              <w:rPr>
                <w:rFonts w:ascii="Times New Roman" w:hAnsi="Times New Roman"/>
                <w:sz w:val="21"/>
                <w:szCs w:val="21"/>
              </w:rPr>
              <w:t xml:space="preserve">% (ноль целых </w:t>
            </w:r>
            <w:r>
              <w:rPr>
                <w:rFonts w:ascii="Times New Roman" w:hAnsi="Times New Roman"/>
                <w:sz w:val="21"/>
                <w:szCs w:val="21"/>
              </w:rPr>
              <w:t xml:space="preserve">пять десятых </w:t>
            </w:r>
            <w:r w:rsidR="003C2D2D" w:rsidRPr="00B30C20">
              <w:rPr>
                <w:rFonts w:ascii="Times New Roman" w:hAnsi="Times New Roman"/>
                <w:sz w:val="21"/>
                <w:szCs w:val="21"/>
              </w:rPr>
              <w:t xml:space="preserve">процента) годовых </w:t>
            </w:r>
            <w:r w:rsidR="00A91FAC" w:rsidRPr="00B30C20">
              <w:rPr>
                <w:rFonts w:ascii="Times New Roman" w:hAnsi="Times New Roman"/>
                <w:sz w:val="21"/>
                <w:szCs w:val="21"/>
              </w:rPr>
              <w:t>от объема операции РЕПО</w:t>
            </w:r>
          </w:p>
        </w:tc>
        <w:tc>
          <w:tcPr>
            <w:tcW w:w="3920" w:type="dxa"/>
            <w:tcBorders>
              <w:bottom w:val="single" w:sz="4" w:space="0" w:color="auto"/>
            </w:tcBorders>
          </w:tcPr>
          <w:p w:rsidR="00FB79B9" w:rsidRPr="00B30C20" w:rsidRDefault="00FB79B9" w:rsidP="007A001E">
            <w:pPr>
              <w:contextualSpacing/>
              <w:rPr>
                <w:rFonts w:ascii="Times New Roman" w:hAnsi="Times New Roman" w:cs="Times New Roman"/>
                <w:sz w:val="21"/>
                <w:szCs w:val="21"/>
              </w:rPr>
            </w:pPr>
            <w:r w:rsidRPr="00B30C20">
              <w:rPr>
                <w:rFonts w:ascii="Times New Roman" w:hAnsi="Times New Roman" w:cs="Times New Roman"/>
                <w:sz w:val="21"/>
                <w:szCs w:val="21"/>
              </w:rPr>
              <w:t>В</w:t>
            </w:r>
            <w:r w:rsidR="003C2D2D" w:rsidRPr="00B30C20">
              <w:rPr>
                <w:rFonts w:ascii="Times New Roman" w:hAnsi="Times New Roman" w:cs="Times New Roman"/>
                <w:sz w:val="21"/>
                <w:szCs w:val="21"/>
              </w:rPr>
              <w:t>ознаграждени</w:t>
            </w:r>
            <w:r w:rsidRPr="00B30C20">
              <w:rPr>
                <w:rFonts w:ascii="Times New Roman" w:hAnsi="Times New Roman" w:cs="Times New Roman"/>
                <w:sz w:val="21"/>
                <w:szCs w:val="21"/>
              </w:rPr>
              <w:t>е</w:t>
            </w:r>
            <w:r w:rsidR="003C2D2D" w:rsidRPr="00B30C20">
              <w:rPr>
                <w:rFonts w:ascii="Times New Roman" w:hAnsi="Times New Roman" w:cs="Times New Roman"/>
                <w:sz w:val="21"/>
                <w:szCs w:val="21"/>
              </w:rPr>
              <w:t xml:space="preserve"> рассчитывается </w:t>
            </w:r>
            <w:r w:rsidRPr="00B30C20">
              <w:rPr>
                <w:rFonts w:ascii="Times New Roman" w:hAnsi="Times New Roman" w:cs="Times New Roman"/>
                <w:sz w:val="21"/>
                <w:szCs w:val="21"/>
              </w:rPr>
              <w:t>по каждой заключенной в отчетном месяце сделке РЕПО</w:t>
            </w:r>
            <w:r w:rsidR="00476216" w:rsidRPr="00B30C20">
              <w:rPr>
                <w:rFonts w:ascii="Times New Roman" w:hAnsi="Times New Roman" w:cs="Times New Roman"/>
                <w:sz w:val="21"/>
                <w:szCs w:val="21"/>
              </w:rPr>
              <w:t xml:space="preserve"> от объема первой части РЕПО</w:t>
            </w:r>
            <w:r w:rsidRPr="00B30C20">
              <w:rPr>
                <w:rFonts w:ascii="Times New Roman" w:hAnsi="Times New Roman" w:cs="Times New Roman"/>
                <w:sz w:val="21"/>
                <w:szCs w:val="21"/>
              </w:rPr>
              <w:t xml:space="preserve"> с учетом срока РЕПО.</w:t>
            </w:r>
          </w:p>
          <w:p w:rsidR="003C2D2D" w:rsidRPr="00B30C20" w:rsidRDefault="00FB79B9" w:rsidP="007A001E">
            <w:pPr>
              <w:contextualSpacing/>
              <w:rPr>
                <w:rFonts w:ascii="Times New Roman" w:hAnsi="Times New Roman" w:cs="Times New Roman"/>
                <w:sz w:val="21"/>
                <w:szCs w:val="21"/>
              </w:rPr>
            </w:pPr>
            <w:r w:rsidRPr="00B30C20">
              <w:rPr>
                <w:rFonts w:ascii="Times New Roman" w:hAnsi="Times New Roman" w:cs="Times New Roman"/>
                <w:sz w:val="21"/>
                <w:szCs w:val="21"/>
              </w:rPr>
              <w:t xml:space="preserve">Суммарное по всем заключенным в отчетном месяце вознаграждение </w:t>
            </w:r>
            <w:r w:rsidR="003C2D2D" w:rsidRPr="00B30C20">
              <w:rPr>
                <w:rFonts w:ascii="Times New Roman" w:hAnsi="Times New Roman" w:cs="Times New Roman"/>
                <w:sz w:val="21"/>
                <w:szCs w:val="21"/>
              </w:rPr>
              <w:t>списывается с брокерского счета Клиента один раз в месяц в течение 5 (Пять) рабочих дней месяца</w:t>
            </w:r>
            <w:r w:rsidR="000A5402">
              <w:rPr>
                <w:rFonts w:ascii="Times New Roman" w:hAnsi="Times New Roman" w:cs="Times New Roman"/>
                <w:sz w:val="21"/>
                <w:szCs w:val="21"/>
              </w:rPr>
              <w:t>,</w:t>
            </w:r>
            <w:r w:rsidR="006859BE" w:rsidRPr="00B30C20">
              <w:rPr>
                <w:rFonts w:ascii="Times New Roman" w:hAnsi="Times New Roman" w:cs="Times New Roman"/>
                <w:sz w:val="21"/>
                <w:szCs w:val="21"/>
              </w:rPr>
              <w:t xml:space="preserve"> </w:t>
            </w:r>
            <w:r w:rsidR="003C2D2D" w:rsidRPr="00B30C20">
              <w:rPr>
                <w:rFonts w:ascii="Times New Roman" w:hAnsi="Times New Roman" w:cs="Times New Roman"/>
                <w:sz w:val="21"/>
                <w:szCs w:val="21"/>
              </w:rPr>
              <w:t>следующего за отчетным</w:t>
            </w:r>
            <w:r w:rsidR="006859BE" w:rsidRPr="00B30C20">
              <w:rPr>
                <w:rFonts w:ascii="Times New Roman" w:hAnsi="Times New Roman" w:cs="Times New Roman"/>
                <w:sz w:val="21"/>
                <w:szCs w:val="21"/>
              </w:rPr>
              <w:t>.</w:t>
            </w:r>
          </w:p>
        </w:tc>
      </w:tr>
      <w:tr w:rsidR="003C2D2D" w:rsidRPr="00B30C20" w:rsidTr="007A001E">
        <w:trPr>
          <w:trHeight w:val="230"/>
        </w:trPr>
        <w:tc>
          <w:tcPr>
            <w:tcW w:w="10173" w:type="dxa"/>
            <w:gridSpan w:val="3"/>
            <w:shd w:val="clear" w:color="auto" w:fill="auto"/>
          </w:tcPr>
          <w:p w:rsidR="003C2D2D" w:rsidRPr="00B30C20" w:rsidRDefault="003C2D2D" w:rsidP="007A001E">
            <w:pPr>
              <w:contextualSpacing/>
              <w:rPr>
                <w:rFonts w:ascii="Times New Roman" w:hAnsi="Times New Roman" w:cs="Times New Roman"/>
                <w:sz w:val="21"/>
                <w:szCs w:val="21"/>
              </w:rPr>
            </w:pPr>
            <w:r w:rsidRPr="00B30C20">
              <w:rPr>
                <w:rFonts w:ascii="Times New Roman" w:hAnsi="Times New Roman" w:cs="Times New Roman"/>
                <w:b/>
                <w:color w:val="993366"/>
                <w:sz w:val="21"/>
                <w:szCs w:val="21"/>
              </w:rPr>
              <w:t>Внебиржевой рынок</w:t>
            </w:r>
          </w:p>
        </w:tc>
      </w:tr>
      <w:tr w:rsidR="00476216" w:rsidRPr="00B30C20" w:rsidTr="007A001E">
        <w:trPr>
          <w:trHeight w:val="230"/>
        </w:trPr>
        <w:tc>
          <w:tcPr>
            <w:tcW w:w="3178" w:type="dxa"/>
            <w:tcBorders>
              <w:bottom w:val="single" w:sz="4" w:space="0" w:color="auto"/>
            </w:tcBorders>
          </w:tcPr>
          <w:p w:rsidR="00476216" w:rsidRPr="00B30C20" w:rsidRDefault="00476216" w:rsidP="007A001E">
            <w:pPr>
              <w:contextualSpacing/>
              <w:rPr>
                <w:rFonts w:ascii="Times New Roman" w:hAnsi="Times New Roman" w:cs="Times New Roman"/>
                <w:sz w:val="21"/>
                <w:szCs w:val="21"/>
              </w:rPr>
            </w:pPr>
            <w:r w:rsidRPr="00B30C20">
              <w:rPr>
                <w:rFonts w:ascii="Times New Roman" w:hAnsi="Times New Roman" w:cs="Times New Roman"/>
                <w:sz w:val="21"/>
                <w:szCs w:val="21"/>
              </w:rPr>
              <w:t>Купля/продажа ценных бумаг, за исключением инвестиционных паев</w:t>
            </w:r>
          </w:p>
        </w:tc>
        <w:tc>
          <w:tcPr>
            <w:tcW w:w="3075" w:type="dxa"/>
            <w:tcBorders>
              <w:bottom w:val="single" w:sz="4" w:space="0" w:color="auto"/>
            </w:tcBorders>
          </w:tcPr>
          <w:p w:rsidR="00476216" w:rsidRPr="00B30C20" w:rsidRDefault="00476216" w:rsidP="00E36B17">
            <w:pPr>
              <w:contextualSpacing/>
              <w:jc w:val="center"/>
              <w:rPr>
                <w:rFonts w:ascii="Times New Roman" w:hAnsi="Times New Roman" w:cs="Times New Roman"/>
                <w:sz w:val="21"/>
                <w:szCs w:val="21"/>
              </w:rPr>
            </w:pPr>
            <w:r w:rsidRPr="00B30C20">
              <w:rPr>
                <w:rFonts w:ascii="Times New Roman" w:hAnsi="Times New Roman" w:cs="Times New Roman"/>
                <w:sz w:val="21"/>
                <w:szCs w:val="21"/>
              </w:rPr>
              <w:t>0,2% от оборота</w:t>
            </w:r>
          </w:p>
        </w:tc>
        <w:tc>
          <w:tcPr>
            <w:tcW w:w="3920" w:type="dxa"/>
            <w:tcBorders>
              <w:bottom w:val="single" w:sz="4" w:space="0" w:color="auto"/>
            </w:tcBorders>
          </w:tcPr>
          <w:p w:rsidR="00476216" w:rsidRPr="00B30C20" w:rsidRDefault="00476216" w:rsidP="007A001E">
            <w:pPr>
              <w:contextualSpacing/>
              <w:rPr>
                <w:rFonts w:ascii="Times New Roman" w:hAnsi="Times New Roman" w:cs="Times New Roman"/>
                <w:sz w:val="21"/>
                <w:szCs w:val="21"/>
              </w:rPr>
            </w:pPr>
            <w:r w:rsidRPr="00B30C20">
              <w:rPr>
                <w:rFonts w:ascii="Times New Roman" w:hAnsi="Times New Roman" w:cs="Times New Roman"/>
                <w:sz w:val="21"/>
                <w:szCs w:val="21"/>
              </w:rPr>
              <w:t>Вознаграждение взимается за каждую сделку в день совершения денежных расчетов по сделке.</w:t>
            </w:r>
          </w:p>
          <w:p w:rsidR="00476216" w:rsidRPr="00B30C20" w:rsidRDefault="00476216" w:rsidP="007A001E">
            <w:pPr>
              <w:contextualSpacing/>
              <w:rPr>
                <w:rFonts w:ascii="Times New Roman" w:hAnsi="Times New Roman" w:cs="Times New Roman"/>
                <w:sz w:val="21"/>
                <w:szCs w:val="21"/>
              </w:rPr>
            </w:pPr>
          </w:p>
        </w:tc>
      </w:tr>
      <w:tr w:rsidR="00DE6DCF" w:rsidRPr="00B30C20" w:rsidTr="007A001E">
        <w:trPr>
          <w:trHeight w:val="230"/>
        </w:trPr>
        <w:tc>
          <w:tcPr>
            <w:tcW w:w="3178" w:type="dxa"/>
          </w:tcPr>
          <w:p w:rsidR="00DE6DCF" w:rsidRPr="00B30C20" w:rsidRDefault="00DE6DCF" w:rsidP="007A001E">
            <w:pPr>
              <w:contextualSpacing/>
              <w:rPr>
                <w:rFonts w:ascii="Times New Roman" w:hAnsi="Times New Roman" w:cs="Times New Roman"/>
                <w:sz w:val="21"/>
                <w:szCs w:val="21"/>
              </w:rPr>
            </w:pPr>
            <w:r w:rsidRPr="00B30C20">
              <w:rPr>
                <w:rFonts w:ascii="Times New Roman" w:hAnsi="Times New Roman" w:cs="Times New Roman"/>
                <w:sz w:val="21"/>
                <w:szCs w:val="21"/>
              </w:rPr>
              <w:t>Купля/продажа ценных бумаг, с расчетами в иностранных депозитариях</w:t>
            </w:r>
          </w:p>
        </w:tc>
        <w:tc>
          <w:tcPr>
            <w:tcW w:w="3075" w:type="dxa"/>
          </w:tcPr>
          <w:p w:rsidR="00DE6DCF" w:rsidRPr="00B30C20" w:rsidRDefault="00DE6DCF" w:rsidP="00DE6DCF">
            <w:pPr>
              <w:contextualSpacing/>
              <w:jc w:val="center"/>
              <w:rPr>
                <w:rFonts w:ascii="Times New Roman" w:hAnsi="Times New Roman" w:cs="Times New Roman"/>
                <w:sz w:val="21"/>
                <w:szCs w:val="21"/>
              </w:rPr>
            </w:pPr>
            <w:r w:rsidRPr="00B30C20">
              <w:rPr>
                <w:rFonts w:ascii="Times New Roman" w:hAnsi="Times New Roman" w:cs="Times New Roman"/>
                <w:sz w:val="21"/>
                <w:szCs w:val="21"/>
              </w:rPr>
              <w:t>0,5% от оборота</w:t>
            </w:r>
          </w:p>
        </w:tc>
        <w:tc>
          <w:tcPr>
            <w:tcW w:w="3920" w:type="dxa"/>
          </w:tcPr>
          <w:p w:rsidR="00DE6DCF" w:rsidRPr="00B30C20" w:rsidRDefault="00DE6DCF" w:rsidP="007A001E">
            <w:pPr>
              <w:contextualSpacing/>
              <w:rPr>
                <w:rFonts w:ascii="Times New Roman" w:hAnsi="Times New Roman" w:cs="Times New Roman"/>
                <w:sz w:val="21"/>
                <w:szCs w:val="21"/>
              </w:rPr>
            </w:pPr>
            <w:r w:rsidRPr="00B30C20">
              <w:rPr>
                <w:rFonts w:ascii="Times New Roman" w:hAnsi="Times New Roman" w:cs="Times New Roman"/>
                <w:sz w:val="21"/>
                <w:szCs w:val="21"/>
              </w:rPr>
              <w:t>Вознаграждение взимается за каждую сделку в день совершения денежных расчетов по сделке.</w:t>
            </w:r>
          </w:p>
          <w:p w:rsidR="00DE6DCF" w:rsidRPr="00B30C20" w:rsidRDefault="00DE6DCF" w:rsidP="007A001E">
            <w:pPr>
              <w:contextualSpacing/>
              <w:rPr>
                <w:rFonts w:ascii="Times New Roman" w:hAnsi="Times New Roman" w:cs="Times New Roman"/>
                <w:sz w:val="21"/>
                <w:szCs w:val="21"/>
              </w:rPr>
            </w:pPr>
          </w:p>
        </w:tc>
      </w:tr>
      <w:tr w:rsidR="00476216" w:rsidRPr="00B30C20" w:rsidTr="007A001E">
        <w:trPr>
          <w:trHeight w:val="230"/>
        </w:trPr>
        <w:tc>
          <w:tcPr>
            <w:tcW w:w="3178" w:type="dxa"/>
            <w:tcBorders>
              <w:bottom w:val="single" w:sz="4" w:space="0" w:color="auto"/>
            </w:tcBorders>
          </w:tcPr>
          <w:p w:rsidR="00476216" w:rsidRPr="00B30C20" w:rsidRDefault="00476216" w:rsidP="007A001E">
            <w:pPr>
              <w:contextualSpacing/>
              <w:rPr>
                <w:rFonts w:ascii="Times New Roman" w:hAnsi="Times New Roman" w:cs="Times New Roman"/>
                <w:sz w:val="21"/>
                <w:szCs w:val="21"/>
              </w:rPr>
            </w:pPr>
            <w:r w:rsidRPr="00B30C20">
              <w:rPr>
                <w:rFonts w:ascii="Times New Roman" w:hAnsi="Times New Roman" w:cs="Times New Roman"/>
                <w:sz w:val="21"/>
                <w:szCs w:val="21"/>
              </w:rPr>
              <w:lastRenderedPageBreak/>
              <w:t>Операции с инвестиционными паями (купля/продажа, переход права собственности по иным основаниям (мена, дарение и т.п.))</w:t>
            </w:r>
          </w:p>
          <w:p w:rsidR="00476216" w:rsidRPr="00B30C20" w:rsidRDefault="00476216" w:rsidP="007A001E">
            <w:pPr>
              <w:contextualSpacing/>
              <w:rPr>
                <w:rFonts w:ascii="Times New Roman" w:hAnsi="Times New Roman" w:cs="Times New Roman"/>
                <w:sz w:val="21"/>
                <w:szCs w:val="21"/>
              </w:rPr>
            </w:pPr>
          </w:p>
        </w:tc>
        <w:tc>
          <w:tcPr>
            <w:tcW w:w="3075" w:type="dxa"/>
            <w:tcBorders>
              <w:bottom w:val="single" w:sz="4" w:space="0" w:color="auto"/>
            </w:tcBorders>
          </w:tcPr>
          <w:p w:rsidR="00476216" w:rsidRPr="00B30C20" w:rsidRDefault="00476216" w:rsidP="00960CA1">
            <w:pPr>
              <w:contextualSpacing/>
              <w:jc w:val="center"/>
              <w:rPr>
                <w:rFonts w:ascii="Times New Roman" w:hAnsi="Times New Roman" w:cs="Times New Roman"/>
                <w:sz w:val="21"/>
                <w:szCs w:val="21"/>
              </w:rPr>
            </w:pPr>
            <w:r w:rsidRPr="00B30C20">
              <w:rPr>
                <w:rFonts w:ascii="Times New Roman" w:hAnsi="Times New Roman" w:cs="Times New Roman"/>
                <w:sz w:val="21"/>
                <w:szCs w:val="21"/>
              </w:rPr>
              <w:t>5,00% от объема операции,</w:t>
            </w:r>
          </w:p>
          <w:p w:rsidR="00476216" w:rsidRPr="00B30C20" w:rsidRDefault="00476216" w:rsidP="00960CA1">
            <w:pPr>
              <w:contextualSpacing/>
              <w:jc w:val="center"/>
              <w:rPr>
                <w:rFonts w:ascii="Times New Roman" w:hAnsi="Times New Roman" w:cs="Times New Roman"/>
                <w:sz w:val="21"/>
                <w:szCs w:val="21"/>
              </w:rPr>
            </w:pPr>
            <w:r w:rsidRPr="00B30C20">
              <w:rPr>
                <w:rFonts w:ascii="Times New Roman" w:hAnsi="Times New Roman" w:cs="Times New Roman"/>
                <w:sz w:val="21"/>
                <w:szCs w:val="21"/>
              </w:rPr>
              <w:t>не менее 50 тыс. руб. и не более 100 тыс. руб. за операцию</w:t>
            </w:r>
          </w:p>
          <w:p w:rsidR="00476216" w:rsidRPr="00B30C20" w:rsidRDefault="00476216" w:rsidP="00E36B17">
            <w:pPr>
              <w:contextualSpacing/>
              <w:jc w:val="center"/>
              <w:rPr>
                <w:rFonts w:ascii="Times New Roman" w:hAnsi="Times New Roman" w:cs="Times New Roman"/>
                <w:sz w:val="21"/>
                <w:szCs w:val="21"/>
              </w:rPr>
            </w:pPr>
          </w:p>
        </w:tc>
        <w:tc>
          <w:tcPr>
            <w:tcW w:w="3920" w:type="dxa"/>
            <w:tcBorders>
              <w:bottom w:val="single" w:sz="4" w:space="0" w:color="auto"/>
            </w:tcBorders>
          </w:tcPr>
          <w:p w:rsidR="00476216" w:rsidRPr="00B30C20" w:rsidRDefault="00476216" w:rsidP="007A001E">
            <w:pPr>
              <w:contextualSpacing/>
              <w:rPr>
                <w:rFonts w:ascii="Times New Roman" w:hAnsi="Times New Roman" w:cs="Times New Roman"/>
                <w:sz w:val="21"/>
                <w:szCs w:val="21"/>
              </w:rPr>
            </w:pPr>
            <w:r w:rsidRPr="00B30C20">
              <w:rPr>
                <w:rFonts w:ascii="Times New Roman" w:hAnsi="Times New Roman" w:cs="Times New Roman"/>
                <w:sz w:val="21"/>
                <w:szCs w:val="21"/>
              </w:rPr>
              <w:t>Вознаграждение взимается за каждую операцию в дату перехода права собственности на ценные бумаги</w:t>
            </w:r>
          </w:p>
          <w:p w:rsidR="00476216" w:rsidRPr="00B30C20" w:rsidRDefault="00476216" w:rsidP="007A001E">
            <w:pPr>
              <w:contextualSpacing/>
              <w:rPr>
                <w:rFonts w:ascii="Times New Roman" w:hAnsi="Times New Roman" w:cs="Times New Roman"/>
                <w:sz w:val="21"/>
                <w:szCs w:val="21"/>
              </w:rPr>
            </w:pPr>
          </w:p>
        </w:tc>
      </w:tr>
      <w:tr w:rsidR="003C2D2D" w:rsidRPr="00B30C20" w:rsidTr="007A001E">
        <w:trPr>
          <w:trHeight w:val="230"/>
        </w:trPr>
        <w:tc>
          <w:tcPr>
            <w:tcW w:w="10173" w:type="dxa"/>
            <w:gridSpan w:val="3"/>
            <w:shd w:val="clear" w:color="auto" w:fill="auto"/>
          </w:tcPr>
          <w:p w:rsidR="003C2D2D" w:rsidRPr="00B30C20" w:rsidRDefault="003C2D2D" w:rsidP="007A001E">
            <w:pPr>
              <w:contextualSpacing/>
              <w:rPr>
                <w:rFonts w:ascii="Times New Roman" w:hAnsi="Times New Roman" w:cs="Times New Roman"/>
                <w:sz w:val="21"/>
                <w:szCs w:val="21"/>
              </w:rPr>
            </w:pPr>
            <w:r w:rsidRPr="00B30C20">
              <w:rPr>
                <w:rFonts w:ascii="Times New Roman" w:hAnsi="Times New Roman" w:cs="Times New Roman"/>
                <w:b/>
                <w:color w:val="993366"/>
                <w:sz w:val="21"/>
                <w:szCs w:val="21"/>
              </w:rPr>
              <w:t>Срочный рынок</w:t>
            </w:r>
          </w:p>
        </w:tc>
      </w:tr>
      <w:tr w:rsidR="003C2D2D" w:rsidRPr="00B30C20" w:rsidTr="007A001E">
        <w:trPr>
          <w:trHeight w:val="241"/>
        </w:trPr>
        <w:tc>
          <w:tcPr>
            <w:tcW w:w="3178" w:type="dxa"/>
          </w:tcPr>
          <w:p w:rsidR="003C2D2D" w:rsidRPr="00B30C20" w:rsidRDefault="003C2D2D" w:rsidP="007A001E">
            <w:pPr>
              <w:contextualSpacing/>
              <w:rPr>
                <w:rFonts w:ascii="Times New Roman" w:hAnsi="Times New Roman" w:cs="Times New Roman"/>
                <w:sz w:val="21"/>
                <w:szCs w:val="21"/>
              </w:rPr>
            </w:pPr>
            <w:r w:rsidRPr="00B30C20">
              <w:rPr>
                <w:rFonts w:ascii="Times New Roman" w:hAnsi="Times New Roman" w:cs="Times New Roman"/>
                <w:sz w:val="21"/>
                <w:szCs w:val="21"/>
              </w:rPr>
              <w:t>Купля/продажа срочных контрактов</w:t>
            </w:r>
          </w:p>
        </w:tc>
        <w:tc>
          <w:tcPr>
            <w:tcW w:w="3075" w:type="dxa"/>
          </w:tcPr>
          <w:p w:rsidR="003C2D2D" w:rsidRPr="00B30C20" w:rsidRDefault="002F31A7" w:rsidP="00D14134">
            <w:pPr>
              <w:contextualSpacing/>
              <w:jc w:val="center"/>
              <w:rPr>
                <w:rFonts w:ascii="Times New Roman" w:hAnsi="Times New Roman" w:cs="Times New Roman"/>
                <w:sz w:val="21"/>
                <w:szCs w:val="21"/>
              </w:rPr>
            </w:pPr>
            <w:r>
              <w:rPr>
                <w:rFonts w:ascii="Times New Roman" w:hAnsi="Times New Roman"/>
                <w:sz w:val="21"/>
                <w:szCs w:val="21"/>
              </w:rPr>
              <w:t>0,1% от суммарной стоимости контрактов по сделке</w:t>
            </w:r>
          </w:p>
        </w:tc>
        <w:tc>
          <w:tcPr>
            <w:tcW w:w="3920" w:type="dxa"/>
          </w:tcPr>
          <w:p w:rsidR="003C2D2D" w:rsidRPr="00B30C20" w:rsidRDefault="003C2D2D" w:rsidP="007A001E">
            <w:pPr>
              <w:contextualSpacing/>
              <w:rPr>
                <w:rFonts w:ascii="Times New Roman" w:hAnsi="Times New Roman" w:cs="Times New Roman"/>
                <w:sz w:val="21"/>
                <w:szCs w:val="21"/>
              </w:rPr>
            </w:pPr>
            <w:r w:rsidRPr="00B30C20">
              <w:rPr>
                <w:rFonts w:ascii="Times New Roman" w:hAnsi="Times New Roman" w:cs="Times New Roman"/>
                <w:sz w:val="21"/>
                <w:szCs w:val="21"/>
              </w:rPr>
              <w:t>Вознаграждение списывается по каждой сделке в дату заключения сделки.</w:t>
            </w:r>
          </w:p>
        </w:tc>
      </w:tr>
      <w:tr w:rsidR="003C2D2D" w:rsidRPr="00B30C20" w:rsidTr="007A001E">
        <w:trPr>
          <w:trHeight w:val="460"/>
        </w:trPr>
        <w:tc>
          <w:tcPr>
            <w:tcW w:w="3178" w:type="dxa"/>
          </w:tcPr>
          <w:p w:rsidR="003C2D2D" w:rsidRPr="00B30C20" w:rsidRDefault="003C2D2D" w:rsidP="007A001E">
            <w:pPr>
              <w:contextualSpacing/>
              <w:rPr>
                <w:rFonts w:ascii="Times New Roman" w:hAnsi="Times New Roman" w:cs="Times New Roman"/>
                <w:sz w:val="21"/>
                <w:szCs w:val="21"/>
              </w:rPr>
            </w:pPr>
            <w:r w:rsidRPr="00B30C20">
              <w:rPr>
                <w:rFonts w:ascii="Times New Roman" w:hAnsi="Times New Roman" w:cs="Times New Roman"/>
                <w:sz w:val="21"/>
                <w:szCs w:val="21"/>
              </w:rPr>
              <w:t>Выход на поставку базового актива</w:t>
            </w:r>
          </w:p>
        </w:tc>
        <w:tc>
          <w:tcPr>
            <w:tcW w:w="3075" w:type="dxa"/>
          </w:tcPr>
          <w:p w:rsidR="003C2D2D" w:rsidRPr="00B30C20" w:rsidRDefault="002F31A7" w:rsidP="002F31A7">
            <w:pPr>
              <w:contextualSpacing/>
              <w:jc w:val="center"/>
              <w:rPr>
                <w:rFonts w:ascii="Times New Roman" w:hAnsi="Times New Roman" w:cs="Times New Roman"/>
                <w:sz w:val="21"/>
                <w:szCs w:val="21"/>
              </w:rPr>
            </w:pPr>
            <w:r>
              <w:rPr>
                <w:rFonts w:ascii="Times New Roman" w:hAnsi="Times New Roman"/>
                <w:sz w:val="21"/>
                <w:szCs w:val="21"/>
              </w:rPr>
              <w:t>0,2% от суммарной стоимости контрактов по сделке</w:t>
            </w:r>
          </w:p>
        </w:tc>
        <w:tc>
          <w:tcPr>
            <w:tcW w:w="3920" w:type="dxa"/>
          </w:tcPr>
          <w:p w:rsidR="003C2D2D" w:rsidRPr="00B30C20" w:rsidRDefault="003C2D2D" w:rsidP="007A001E">
            <w:pPr>
              <w:contextualSpacing/>
              <w:rPr>
                <w:rFonts w:ascii="Times New Roman" w:hAnsi="Times New Roman" w:cs="Times New Roman"/>
                <w:sz w:val="21"/>
                <w:szCs w:val="21"/>
              </w:rPr>
            </w:pPr>
            <w:r w:rsidRPr="00B30C20">
              <w:rPr>
                <w:rFonts w:ascii="Times New Roman" w:hAnsi="Times New Roman" w:cs="Times New Roman"/>
                <w:sz w:val="21"/>
                <w:szCs w:val="21"/>
              </w:rPr>
              <w:t>Вознаграждение списывается по каждой сделке в дату заключения сделки.</w:t>
            </w:r>
          </w:p>
        </w:tc>
      </w:tr>
      <w:tr w:rsidR="003C2D2D" w:rsidRPr="00B30C20" w:rsidTr="007A001E">
        <w:trPr>
          <w:trHeight w:val="460"/>
        </w:trPr>
        <w:tc>
          <w:tcPr>
            <w:tcW w:w="3178" w:type="dxa"/>
          </w:tcPr>
          <w:p w:rsidR="003C2D2D" w:rsidRPr="00B30C20" w:rsidRDefault="003C2D2D" w:rsidP="007A001E">
            <w:pPr>
              <w:contextualSpacing/>
              <w:rPr>
                <w:rFonts w:ascii="Times New Roman" w:hAnsi="Times New Roman" w:cs="Times New Roman"/>
                <w:sz w:val="21"/>
                <w:szCs w:val="21"/>
              </w:rPr>
            </w:pPr>
            <w:r w:rsidRPr="00B30C20">
              <w:rPr>
                <w:rFonts w:ascii="Times New Roman" w:hAnsi="Times New Roman" w:cs="Times New Roman"/>
                <w:sz w:val="21"/>
                <w:szCs w:val="21"/>
              </w:rPr>
              <w:t xml:space="preserve">Обслуживание отдельной «брокерской фирмы» </w:t>
            </w:r>
          </w:p>
        </w:tc>
        <w:tc>
          <w:tcPr>
            <w:tcW w:w="3075" w:type="dxa"/>
          </w:tcPr>
          <w:p w:rsidR="003C2D2D" w:rsidRPr="00B30C20" w:rsidRDefault="002F31A7" w:rsidP="002F31A7">
            <w:pPr>
              <w:contextualSpacing/>
              <w:jc w:val="center"/>
              <w:rPr>
                <w:rFonts w:ascii="Times New Roman" w:hAnsi="Times New Roman" w:cs="Times New Roman"/>
                <w:sz w:val="21"/>
                <w:szCs w:val="21"/>
              </w:rPr>
            </w:pPr>
            <w:r>
              <w:rPr>
                <w:rFonts w:ascii="Times New Roman" w:hAnsi="Times New Roman" w:cs="Times New Roman"/>
                <w:sz w:val="21"/>
                <w:szCs w:val="21"/>
              </w:rPr>
              <w:t>1</w:t>
            </w:r>
            <w:r w:rsidR="0070051F">
              <w:rPr>
                <w:rFonts w:ascii="Times New Roman" w:hAnsi="Times New Roman" w:cs="Times New Roman"/>
                <w:sz w:val="21"/>
                <w:szCs w:val="21"/>
                <w:lang w:val="en-US"/>
              </w:rPr>
              <w:t>’</w:t>
            </w:r>
            <w:r>
              <w:rPr>
                <w:rFonts w:ascii="Times New Roman" w:hAnsi="Times New Roman" w:cs="Times New Roman"/>
                <w:sz w:val="21"/>
                <w:szCs w:val="21"/>
              </w:rPr>
              <w:t xml:space="preserve">000 </w:t>
            </w:r>
            <w:r w:rsidR="00D14134">
              <w:rPr>
                <w:rFonts w:ascii="Times New Roman" w:hAnsi="Times New Roman" w:cs="Times New Roman"/>
                <w:sz w:val="21"/>
                <w:szCs w:val="21"/>
              </w:rPr>
              <w:t>(</w:t>
            </w:r>
            <w:r>
              <w:rPr>
                <w:rFonts w:ascii="Times New Roman" w:hAnsi="Times New Roman" w:cs="Times New Roman"/>
                <w:sz w:val="21"/>
                <w:szCs w:val="21"/>
              </w:rPr>
              <w:t xml:space="preserve">одна </w:t>
            </w:r>
            <w:r w:rsidR="00D14134">
              <w:rPr>
                <w:rFonts w:ascii="Times New Roman" w:hAnsi="Times New Roman" w:cs="Times New Roman"/>
                <w:sz w:val="21"/>
                <w:szCs w:val="21"/>
              </w:rPr>
              <w:t>тысяч</w:t>
            </w:r>
            <w:r>
              <w:rPr>
                <w:rFonts w:ascii="Times New Roman" w:hAnsi="Times New Roman" w:cs="Times New Roman"/>
                <w:sz w:val="21"/>
                <w:szCs w:val="21"/>
              </w:rPr>
              <w:t>а</w:t>
            </w:r>
            <w:r w:rsidR="00D14134">
              <w:rPr>
                <w:rFonts w:ascii="Times New Roman" w:hAnsi="Times New Roman" w:cs="Times New Roman"/>
                <w:sz w:val="21"/>
                <w:szCs w:val="21"/>
              </w:rPr>
              <w:t>)</w:t>
            </w:r>
            <w:r w:rsidR="003C2D2D" w:rsidRPr="00B30C20">
              <w:rPr>
                <w:rFonts w:ascii="Times New Roman" w:hAnsi="Times New Roman" w:cs="Times New Roman"/>
                <w:sz w:val="21"/>
                <w:szCs w:val="21"/>
                <w:lang w:val="en-US"/>
              </w:rPr>
              <w:t xml:space="preserve"> </w:t>
            </w:r>
            <w:r w:rsidR="003C2D2D" w:rsidRPr="00B30C20">
              <w:rPr>
                <w:rFonts w:ascii="Times New Roman" w:hAnsi="Times New Roman" w:cs="Times New Roman"/>
                <w:sz w:val="21"/>
                <w:szCs w:val="21"/>
              </w:rPr>
              <w:t>рублей</w:t>
            </w:r>
          </w:p>
        </w:tc>
        <w:tc>
          <w:tcPr>
            <w:tcW w:w="3920" w:type="dxa"/>
          </w:tcPr>
          <w:p w:rsidR="003C2D2D" w:rsidRPr="00B30C20" w:rsidRDefault="003C2D2D" w:rsidP="007A001E">
            <w:pPr>
              <w:contextualSpacing/>
              <w:rPr>
                <w:rFonts w:ascii="Times New Roman" w:hAnsi="Times New Roman" w:cs="Times New Roman"/>
                <w:sz w:val="21"/>
                <w:szCs w:val="21"/>
              </w:rPr>
            </w:pPr>
            <w:r w:rsidRPr="00B30C20">
              <w:rPr>
                <w:rFonts w:ascii="Times New Roman" w:hAnsi="Times New Roman" w:cs="Times New Roman"/>
                <w:sz w:val="21"/>
                <w:szCs w:val="21"/>
              </w:rPr>
              <w:t>Взимается ежемесячно.</w:t>
            </w:r>
          </w:p>
        </w:tc>
      </w:tr>
      <w:tr w:rsidR="003C2D2D" w:rsidRPr="00B30C20" w:rsidTr="007A001E">
        <w:trPr>
          <w:trHeight w:val="460"/>
        </w:trPr>
        <w:tc>
          <w:tcPr>
            <w:tcW w:w="10173" w:type="dxa"/>
            <w:gridSpan w:val="3"/>
          </w:tcPr>
          <w:p w:rsidR="003C2D2D" w:rsidRPr="00B30C20" w:rsidRDefault="003C2D2D" w:rsidP="007A001E">
            <w:pPr>
              <w:contextualSpacing/>
              <w:rPr>
                <w:rFonts w:ascii="Times New Roman" w:hAnsi="Times New Roman" w:cs="Times New Roman"/>
                <w:b/>
                <w:sz w:val="21"/>
                <w:szCs w:val="21"/>
              </w:rPr>
            </w:pPr>
            <w:r w:rsidRPr="00B30C20">
              <w:rPr>
                <w:rFonts w:ascii="Times New Roman" w:hAnsi="Times New Roman" w:cs="Times New Roman"/>
                <w:b/>
                <w:sz w:val="21"/>
                <w:szCs w:val="21"/>
              </w:rPr>
              <w:t>Ставки депозитной маржи (установлены в % от ГО, указанного в спецификации соответствующих контрактов)</w:t>
            </w:r>
          </w:p>
        </w:tc>
      </w:tr>
      <w:tr w:rsidR="003C2D2D" w:rsidRPr="00B30C20" w:rsidTr="007A001E">
        <w:trPr>
          <w:trHeight w:val="460"/>
        </w:trPr>
        <w:tc>
          <w:tcPr>
            <w:tcW w:w="3178" w:type="dxa"/>
          </w:tcPr>
          <w:p w:rsidR="003C2D2D" w:rsidRPr="00B30C20" w:rsidRDefault="003C2D2D" w:rsidP="007A001E">
            <w:pPr>
              <w:contextualSpacing/>
              <w:rPr>
                <w:rFonts w:ascii="Times New Roman" w:hAnsi="Times New Roman" w:cs="Times New Roman"/>
                <w:sz w:val="21"/>
                <w:szCs w:val="21"/>
              </w:rPr>
            </w:pPr>
            <w:r w:rsidRPr="00B30C20">
              <w:rPr>
                <w:rFonts w:ascii="Times New Roman" w:hAnsi="Times New Roman" w:cs="Times New Roman"/>
                <w:sz w:val="21"/>
                <w:szCs w:val="21"/>
              </w:rPr>
              <w:t>Любые фьючерсные контракты</w:t>
            </w:r>
          </w:p>
        </w:tc>
        <w:tc>
          <w:tcPr>
            <w:tcW w:w="3075" w:type="dxa"/>
          </w:tcPr>
          <w:p w:rsidR="003C2D2D" w:rsidRPr="00B30C20" w:rsidRDefault="003C2D2D" w:rsidP="00062781">
            <w:pPr>
              <w:contextualSpacing/>
              <w:jc w:val="center"/>
              <w:rPr>
                <w:rFonts w:ascii="Times New Roman" w:hAnsi="Times New Roman" w:cs="Times New Roman"/>
                <w:sz w:val="21"/>
                <w:szCs w:val="21"/>
              </w:rPr>
            </w:pPr>
            <w:r w:rsidRPr="00B30C20">
              <w:rPr>
                <w:rFonts w:ascii="Times New Roman" w:hAnsi="Times New Roman" w:cs="Times New Roman"/>
                <w:sz w:val="21"/>
                <w:szCs w:val="21"/>
              </w:rPr>
              <w:t>100%</w:t>
            </w:r>
          </w:p>
        </w:tc>
        <w:tc>
          <w:tcPr>
            <w:tcW w:w="3920" w:type="dxa"/>
          </w:tcPr>
          <w:p w:rsidR="003C2D2D" w:rsidRPr="00B30C20" w:rsidRDefault="003C2D2D" w:rsidP="007A001E">
            <w:pPr>
              <w:contextualSpacing/>
              <w:rPr>
                <w:rFonts w:ascii="Times New Roman" w:hAnsi="Times New Roman" w:cs="Times New Roman"/>
                <w:sz w:val="21"/>
                <w:szCs w:val="21"/>
              </w:rPr>
            </w:pPr>
            <w:r w:rsidRPr="00B30C20">
              <w:rPr>
                <w:rFonts w:ascii="Times New Roman" w:hAnsi="Times New Roman" w:cs="Times New Roman"/>
                <w:sz w:val="21"/>
                <w:szCs w:val="21"/>
              </w:rPr>
              <w:t>-</w:t>
            </w:r>
          </w:p>
        </w:tc>
      </w:tr>
      <w:tr w:rsidR="00ED4648" w:rsidRPr="00B30C20" w:rsidTr="007A001E">
        <w:trPr>
          <w:trHeight w:val="460"/>
        </w:trPr>
        <w:tc>
          <w:tcPr>
            <w:tcW w:w="10173" w:type="dxa"/>
            <w:gridSpan w:val="3"/>
          </w:tcPr>
          <w:p w:rsidR="00ED4648" w:rsidRPr="00B30C20" w:rsidRDefault="00ED4648" w:rsidP="007A001E">
            <w:pPr>
              <w:contextualSpacing/>
              <w:rPr>
                <w:rFonts w:ascii="Times New Roman" w:hAnsi="Times New Roman" w:cs="Times New Roman"/>
                <w:sz w:val="21"/>
                <w:szCs w:val="21"/>
              </w:rPr>
            </w:pPr>
            <w:r w:rsidRPr="00B30C20">
              <w:rPr>
                <w:rFonts w:ascii="Times New Roman" w:hAnsi="Times New Roman" w:cs="Times New Roman"/>
                <w:b/>
                <w:color w:val="993366"/>
                <w:sz w:val="21"/>
                <w:szCs w:val="21"/>
              </w:rPr>
              <w:t>Валютный рынок</w:t>
            </w:r>
          </w:p>
        </w:tc>
      </w:tr>
      <w:tr w:rsidR="00ED4648" w:rsidRPr="00B30C20" w:rsidTr="007A001E">
        <w:trPr>
          <w:trHeight w:val="460"/>
        </w:trPr>
        <w:tc>
          <w:tcPr>
            <w:tcW w:w="3178" w:type="dxa"/>
          </w:tcPr>
          <w:p w:rsidR="00ED4648" w:rsidRPr="00B30C20" w:rsidRDefault="00ED4648" w:rsidP="007A001E">
            <w:pPr>
              <w:contextualSpacing/>
              <w:rPr>
                <w:rFonts w:ascii="Times New Roman" w:hAnsi="Times New Roman" w:cs="Times New Roman"/>
                <w:sz w:val="21"/>
                <w:szCs w:val="21"/>
              </w:rPr>
            </w:pPr>
            <w:r w:rsidRPr="00B30C20">
              <w:rPr>
                <w:rFonts w:ascii="Times New Roman" w:hAnsi="Times New Roman"/>
                <w:sz w:val="21"/>
                <w:szCs w:val="21"/>
              </w:rPr>
              <w:t>Конверсионные операции</w:t>
            </w:r>
          </w:p>
        </w:tc>
        <w:tc>
          <w:tcPr>
            <w:tcW w:w="3075" w:type="dxa"/>
          </w:tcPr>
          <w:p w:rsidR="00ED4648" w:rsidRPr="00B30C20" w:rsidRDefault="00E731C3" w:rsidP="00ED4648">
            <w:pPr>
              <w:contextualSpacing/>
              <w:jc w:val="center"/>
              <w:rPr>
                <w:rFonts w:ascii="Times New Roman" w:hAnsi="Times New Roman" w:cs="Times New Roman"/>
                <w:sz w:val="21"/>
                <w:szCs w:val="21"/>
              </w:rPr>
            </w:pPr>
            <w:r w:rsidRPr="00B30C20">
              <w:rPr>
                <w:rFonts w:ascii="Times New Roman" w:hAnsi="Times New Roman" w:cs="Times New Roman"/>
                <w:sz w:val="21"/>
                <w:szCs w:val="21"/>
              </w:rPr>
              <w:t>0,3</w:t>
            </w:r>
            <w:r w:rsidR="00ED4648" w:rsidRPr="00B30C20">
              <w:rPr>
                <w:rFonts w:ascii="Times New Roman" w:hAnsi="Times New Roman" w:cs="Times New Roman"/>
                <w:sz w:val="21"/>
                <w:szCs w:val="21"/>
              </w:rPr>
              <w:t>% от объема операций</w:t>
            </w:r>
            <w:r w:rsidR="00E4170A" w:rsidRPr="00B30C20">
              <w:rPr>
                <w:rFonts w:ascii="Times New Roman" w:hAnsi="Times New Roman" w:cs="Times New Roman"/>
                <w:sz w:val="21"/>
                <w:szCs w:val="21"/>
              </w:rPr>
              <w:t>*</w:t>
            </w:r>
            <w:r w:rsidR="00ED4648" w:rsidRPr="00B30C20">
              <w:rPr>
                <w:rFonts w:ascii="Times New Roman" w:hAnsi="Times New Roman" w:cs="Times New Roman"/>
                <w:sz w:val="21"/>
                <w:szCs w:val="21"/>
              </w:rPr>
              <w:t xml:space="preserve"> </w:t>
            </w:r>
          </w:p>
        </w:tc>
        <w:tc>
          <w:tcPr>
            <w:tcW w:w="3920" w:type="dxa"/>
            <w:vMerge w:val="restart"/>
          </w:tcPr>
          <w:p w:rsidR="00ED4648" w:rsidRPr="00B30C20" w:rsidRDefault="00ED4648" w:rsidP="00086EFA">
            <w:pPr>
              <w:contextualSpacing/>
              <w:rPr>
                <w:rFonts w:ascii="Times New Roman" w:hAnsi="Times New Roman" w:cs="Times New Roman"/>
                <w:sz w:val="21"/>
                <w:szCs w:val="21"/>
              </w:rPr>
            </w:pPr>
            <w:r w:rsidRPr="00B30C20">
              <w:rPr>
                <w:rFonts w:ascii="Times New Roman" w:hAnsi="Times New Roman" w:cs="Times New Roman"/>
                <w:sz w:val="21"/>
                <w:szCs w:val="21"/>
              </w:rPr>
              <w:t>Вознаграждение рассчитывается от суммарного объема операций по каждой валютной паре</w:t>
            </w:r>
            <w:r w:rsidR="007B25F6" w:rsidRPr="00B30C20">
              <w:rPr>
                <w:rFonts w:ascii="Times New Roman" w:hAnsi="Times New Roman" w:cs="Times New Roman"/>
                <w:sz w:val="21"/>
                <w:szCs w:val="21"/>
              </w:rPr>
              <w:t xml:space="preserve"> </w:t>
            </w:r>
            <w:r w:rsidR="00086EFA">
              <w:rPr>
                <w:rFonts w:ascii="Times New Roman" w:hAnsi="Times New Roman" w:cs="Times New Roman"/>
                <w:sz w:val="21"/>
                <w:szCs w:val="21"/>
              </w:rPr>
              <w:t xml:space="preserve">в контрвалюте. </w:t>
            </w:r>
            <w:r w:rsidRPr="00B30C20">
              <w:rPr>
                <w:rFonts w:ascii="Times New Roman" w:hAnsi="Times New Roman" w:cs="Times New Roman"/>
                <w:sz w:val="21"/>
                <w:szCs w:val="21"/>
              </w:rPr>
              <w:t xml:space="preserve">Удерживается </w:t>
            </w:r>
            <w:r w:rsidR="0083392E" w:rsidRPr="00B30C20">
              <w:rPr>
                <w:rFonts w:ascii="Times New Roman" w:hAnsi="Times New Roman" w:cs="Times New Roman"/>
                <w:sz w:val="21"/>
                <w:szCs w:val="21"/>
              </w:rPr>
              <w:t xml:space="preserve">в дату </w:t>
            </w:r>
            <w:r w:rsidR="007B25F6" w:rsidRPr="00B30C20">
              <w:rPr>
                <w:rFonts w:ascii="Times New Roman" w:hAnsi="Times New Roman" w:cs="Times New Roman"/>
                <w:sz w:val="21"/>
                <w:szCs w:val="21"/>
              </w:rPr>
              <w:t xml:space="preserve">расчетов </w:t>
            </w:r>
            <w:r w:rsidRPr="00B30C20">
              <w:rPr>
                <w:rFonts w:ascii="Times New Roman" w:hAnsi="Times New Roman" w:cs="Times New Roman"/>
                <w:sz w:val="21"/>
                <w:szCs w:val="21"/>
              </w:rPr>
              <w:t xml:space="preserve">с брокерского счета Клиента, открытого в </w:t>
            </w:r>
            <w:r w:rsidR="007B25F6" w:rsidRPr="00B30C20">
              <w:rPr>
                <w:rFonts w:ascii="Times New Roman" w:hAnsi="Times New Roman" w:cs="Times New Roman"/>
                <w:sz w:val="21"/>
                <w:szCs w:val="21"/>
              </w:rPr>
              <w:t>контрвалюте</w:t>
            </w:r>
            <w:r w:rsidR="00086EFA">
              <w:rPr>
                <w:rFonts w:ascii="Times New Roman" w:hAnsi="Times New Roman" w:cs="Times New Roman"/>
                <w:sz w:val="21"/>
                <w:szCs w:val="21"/>
              </w:rPr>
              <w:t>.</w:t>
            </w:r>
          </w:p>
        </w:tc>
      </w:tr>
      <w:tr w:rsidR="00ED4648" w:rsidRPr="00B30C20" w:rsidTr="007A001E">
        <w:trPr>
          <w:trHeight w:val="460"/>
        </w:trPr>
        <w:tc>
          <w:tcPr>
            <w:tcW w:w="3178" w:type="dxa"/>
          </w:tcPr>
          <w:p w:rsidR="00ED4648" w:rsidRPr="00B30C20" w:rsidRDefault="00ED4648" w:rsidP="007A001E">
            <w:pPr>
              <w:contextualSpacing/>
              <w:rPr>
                <w:rFonts w:ascii="Times New Roman" w:hAnsi="Times New Roman"/>
                <w:sz w:val="21"/>
                <w:szCs w:val="21"/>
              </w:rPr>
            </w:pPr>
            <w:r w:rsidRPr="00B30C20">
              <w:rPr>
                <w:rFonts w:ascii="Times New Roman" w:hAnsi="Times New Roman"/>
                <w:sz w:val="21"/>
                <w:szCs w:val="21"/>
              </w:rPr>
              <w:t>Операции СВОП</w:t>
            </w:r>
          </w:p>
        </w:tc>
        <w:tc>
          <w:tcPr>
            <w:tcW w:w="3075" w:type="dxa"/>
          </w:tcPr>
          <w:p w:rsidR="00ED4648" w:rsidRPr="00B30C20" w:rsidRDefault="00ED4648" w:rsidP="00062781">
            <w:pPr>
              <w:contextualSpacing/>
              <w:jc w:val="center"/>
              <w:rPr>
                <w:rFonts w:ascii="Times New Roman" w:hAnsi="Times New Roman"/>
                <w:sz w:val="21"/>
                <w:szCs w:val="21"/>
              </w:rPr>
            </w:pPr>
            <w:r w:rsidRPr="00B30C20">
              <w:rPr>
                <w:rFonts w:ascii="Times New Roman" w:hAnsi="Times New Roman"/>
                <w:sz w:val="21"/>
                <w:szCs w:val="21"/>
              </w:rPr>
              <w:t>0,1</w:t>
            </w:r>
            <w:r w:rsidR="00E4170A" w:rsidRPr="00B30C20">
              <w:rPr>
                <w:rFonts w:ascii="Times New Roman" w:hAnsi="Times New Roman"/>
                <w:sz w:val="21"/>
                <w:szCs w:val="21"/>
              </w:rPr>
              <w:t>0</w:t>
            </w:r>
            <w:r w:rsidRPr="00B30C20">
              <w:rPr>
                <w:rFonts w:ascii="Times New Roman" w:hAnsi="Times New Roman"/>
                <w:sz w:val="21"/>
                <w:szCs w:val="21"/>
              </w:rPr>
              <w:t>% от объема операций по первой части СВОПа</w:t>
            </w:r>
          </w:p>
        </w:tc>
        <w:tc>
          <w:tcPr>
            <w:tcW w:w="3920" w:type="dxa"/>
            <w:vMerge/>
          </w:tcPr>
          <w:p w:rsidR="00ED4648" w:rsidRPr="00B30C20" w:rsidRDefault="00ED4648" w:rsidP="007A001E">
            <w:pPr>
              <w:contextualSpacing/>
              <w:rPr>
                <w:rFonts w:ascii="Times New Roman" w:hAnsi="Times New Roman"/>
                <w:sz w:val="21"/>
                <w:szCs w:val="21"/>
              </w:rPr>
            </w:pPr>
          </w:p>
        </w:tc>
      </w:tr>
      <w:tr w:rsidR="00E731C3" w:rsidRPr="00B30C20" w:rsidTr="007A001E">
        <w:trPr>
          <w:trHeight w:val="460"/>
        </w:trPr>
        <w:tc>
          <w:tcPr>
            <w:tcW w:w="3178" w:type="dxa"/>
          </w:tcPr>
          <w:p w:rsidR="00E731C3" w:rsidRPr="00B30C20" w:rsidRDefault="00E731C3" w:rsidP="003E36D0">
            <w:pPr>
              <w:contextualSpacing/>
              <w:jc w:val="center"/>
              <w:rPr>
                <w:rFonts w:ascii="Times New Roman" w:hAnsi="Times New Roman"/>
                <w:sz w:val="21"/>
                <w:szCs w:val="21"/>
              </w:rPr>
            </w:pPr>
            <w:r w:rsidRPr="00B30C20">
              <w:rPr>
                <w:rFonts w:ascii="Times New Roman" w:hAnsi="Times New Roman"/>
                <w:sz w:val="21"/>
                <w:szCs w:val="21"/>
              </w:rPr>
              <w:t>Вывод иностранной валюты на расчетный/текущий счет</w:t>
            </w:r>
          </w:p>
        </w:tc>
        <w:tc>
          <w:tcPr>
            <w:tcW w:w="3075" w:type="dxa"/>
          </w:tcPr>
          <w:p w:rsidR="00E731C3" w:rsidRPr="00B30C20" w:rsidRDefault="00030F00" w:rsidP="00062781">
            <w:pPr>
              <w:contextualSpacing/>
              <w:jc w:val="center"/>
              <w:rPr>
                <w:rFonts w:ascii="Times New Roman" w:hAnsi="Times New Roman"/>
                <w:sz w:val="21"/>
                <w:szCs w:val="21"/>
              </w:rPr>
            </w:pPr>
            <w:r>
              <w:rPr>
                <w:rFonts w:ascii="Times New Roman" w:hAnsi="Times New Roman"/>
                <w:sz w:val="21"/>
                <w:szCs w:val="21"/>
              </w:rPr>
              <w:t>1</w:t>
            </w:r>
            <w:r w:rsidR="00E731C3" w:rsidRPr="00B30C20">
              <w:rPr>
                <w:rFonts w:ascii="Times New Roman" w:hAnsi="Times New Roman"/>
                <w:sz w:val="21"/>
                <w:szCs w:val="21"/>
              </w:rPr>
              <w:t>%</w:t>
            </w:r>
          </w:p>
        </w:tc>
        <w:tc>
          <w:tcPr>
            <w:tcW w:w="3920" w:type="dxa"/>
          </w:tcPr>
          <w:p w:rsidR="00E731C3" w:rsidRPr="00B30C20" w:rsidRDefault="00E731C3" w:rsidP="007A001E">
            <w:pPr>
              <w:contextualSpacing/>
              <w:rPr>
                <w:rFonts w:ascii="Times New Roman" w:hAnsi="Times New Roman"/>
                <w:sz w:val="21"/>
                <w:szCs w:val="21"/>
              </w:rPr>
            </w:pPr>
            <w:r w:rsidRPr="00B30C20">
              <w:rPr>
                <w:rFonts w:ascii="Times New Roman" w:hAnsi="Times New Roman" w:cs="Times New Roman"/>
                <w:sz w:val="21"/>
                <w:szCs w:val="21"/>
              </w:rPr>
              <w:t>Вознаграждение рассчитывается о</w:t>
            </w:r>
            <w:r w:rsidRPr="00B30C20">
              <w:rPr>
                <w:rFonts w:ascii="Times New Roman" w:hAnsi="Times New Roman"/>
                <w:sz w:val="21"/>
                <w:szCs w:val="21"/>
              </w:rPr>
              <w:t xml:space="preserve">т суммы иностранной валюты, указанной в требовании на вывод средств. </w:t>
            </w:r>
            <w:r w:rsidRPr="00B30C20">
              <w:rPr>
                <w:rFonts w:ascii="Times New Roman" w:hAnsi="Times New Roman" w:cs="Times New Roman"/>
                <w:sz w:val="21"/>
                <w:szCs w:val="21"/>
              </w:rPr>
              <w:t>Удерживается с брокерского счета Клиента, открытого в соответствующей валюте или в рублях (при отсутствии достаточного остатка средств в соответствующей валюте на брокерском счете клиента)</w:t>
            </w:r>
          </w:p>
        </w:tc>
      </w:tr>
    </w:tbl>
    <w:p w:rsidR="007E398D" w:rsidRPr="00B30C20" w:rsidRDefault="007E398D">
      <w:pPr>
        <w:contextualSpacing/>
        <w:jc w:val="center"/>
        <w:rPr>
          <w:rFonts w:ascii="Times New Roman" w:hAnsi="Times New Roman" w:cs="Times New Roman"/>
          <w:sz w:val="20"/>
          <w:szCs w:val="20"/>
        </w:rPr>
      </w:pPr>
    </w:p>
    <w:p w:rsidR="00412709" w:rsidRPr="00B30C20" w:rsidRDefault="00E4170A" w:rsidP="00E4170A">
      <w:pPr>
        <w:rPr>
          <w:rFonts w:ascii="Times New Roman" w:hAnsi="Times New Roman" w:cs="Times New Roman"/>
          <w:sz w:val="20"/>
          <w:szCs w:val="20"/>
        </w:rPr>
      </w:pPr>
      <w:r w:rsidRPr="00B30C20">
        <w:rPr>
          <w:rFonts w:ascii="Times New Roman" w:hAnsi="Times New Roman" w:cs="Times New Roman"/>
          <w:sz w:val="20"/>
          <w:szCs w:val="20"/>
        </w:rPr>
        <w:t xml:space="preserve"> *- если иное не установлено Федеральным законом, Указом Президента РФ или иными нормативными правовыми актами.</w:t>
      </w:r>
    </w:p>
    <w:sectPr w:rsidR="00412709" w:rsidRPr="00B30C20" w:rsidSect="007974E1">
      <w:headerReference w:type="default" r:id="rId8"/>
      <w:footerReference w:type="default" r:id="rId9"/>
      <w:pgSz w:w="11906" w:h="16838"/>
      <w:pgMar w:top="868" w:right="991" w:bottom="1134"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B9B" w:rsidRDefault="006D3B9B" w:rsidP="00393A19">
      <w:pPr>
        <w:spacing w:after="0" w:line="240" w:lineRule="auto"/>
      </w:pPr>
      <w:r>
        <w:separator/>
      </w:r>
    </w:p>
  </w:endnote>
  <w:endnote w:type="continuationSeparator" w:id="0">
    <w:p w:rsidR="006D3B9B" w:rsidRDefault="006D3B9B" w:rsidP="00393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45317"/>
      <w:docPartObj>
        <w:docPartGallery w:val="Page Numbers (Bottom of Page)"/>
        <w:docPartUnique/>
      </w:docPartObj>
    </w:sdtPr>
    <w:sdtEndPr>
      <w:rPr>
        <w:rFonts w:ascii="Times New Roman" w:hAnsi="Times New Roman" w:cs="Times New Roman"/>
      </w:rPr>
    </w:sdtEndPr>
    <w:sdtContent>
      <w:p w:rsidR="00D66901" w:rsidRPr="00393A19" w:rsidRDefault="003238C6">
        <w:pPr>
          <w:pStyle w:val="ae"/>
          <w:jc w:val="center"/>
          <w:rPr>
            <w:rFonts w:ascii="Times New Roman" w:hAnsi="Times New Roman" w:cs="Times New Roman"/>
          </w:rPr>
        </w:pPr>
        <w:r w:rsidRPr="00393A19">
          <w:rPr>
            <w:rFonts w:ascii="Times New Roman" w:hAnsi="Times New Roman" w:cs="Times New Roman"/>
          </w:rPr>
          <w:fldChar w:fldCharType="begin"/>
        </w:r>
        <w:r w:rsidR="00D66901" w:rsidRPr="00393A19">
          <w:rPr>
            <w:rFonts w:ascii="Times New Roman" w:hAnsi="Times New Roman" w:cs="Times New Roman"/>
          </w:rPr>
          <w:instrText xml:space="preserve"> PAGE   \* MERGEFORMAT </w:instrText>
        </w:r>
        <w:r w:rsidRPr="00393A19">
          <w:rPr>
            <w:rFonts w:ascii="Times New Roman" w:hAnsi="Times New Roman" w:cs="Times New Roman"/>
          </w:rPr>
          <w:fldChar w:fldCharType="separate"/>
        </w:r>
        <w:r w:rsidR="00FD033F">
          <w:rPr>
            <w:rFonts w:ascii="Times New Roman" w:hAnsi="Times New Roman" w:cs="Times New Roman"/>
            <w:noProof/>
          </w:rPr>
          <w:t>1</w:t>
        </w:r>
        <w:r w:rsidRPr="00393A19">
          <w:rPr>
            <w:rFonts w:ascii="Times New Roman" w:hAnsi="Times New Roman" w:cs="Times New Roman"/>
          </w:rPr>
          <w:fldChar w:fldCharType="end"/>
        </w:r>
      </w:p>
    </w:sdtContent>
  </w:sdt>
  <w:p w:rsidR="00D66901" w:rsidRDefault="00D6690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B9B" w:rsidRDefault="006D3B9B" w:rsidP="00393A19">
      <w:pPr>
        <w:spacing w:after="0" w:line="240" w:lineRule="auto"/>
      </w:pPr>
      <w:r>
        <w:separator/>
      </w:r>
    </w:p>
  </w:footnote>
  <w:footnote w:type="continuationSeparator" w:id="0">
    <w:p w:rsidR="006D3B9B" w:rsidRDefault="006D3B9B" w:rsidP="00393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D66901" w:rsidRPr="00393A19" w:rsidTr="00393A19">
      <w:trPr>
        <w:trHeight w:val="838"/>
      </w:trPr>
      <w:tc>
        <w:tcPr>
          <w:tcW w:w="4786" w:type="dxa"/>
        </w:tcPr>
        <w:p w:rsidR="00D66901" w:rsidRPr="00393A19" w:rsidRDefault="00D66901" w:rsidP="00393A19">
          <w:pPr>
            <w:contextualSpacing/>
            <w:rPr>
              <w:rFonts w:ascii="Times New Roman" w:hAnsi="Times New Roman" w:cs="Times New Roman"/>
              <w:sz w:val="24"/>
              <w:szCs w:val="24"/>
            </w:rPr>
          </w:pPr>
          <w:r w:rsidRPr="00393A19">
            <w:rPr>
              <w:rFonts w:ascii="Times New Roman" w:hAnsi="Times New Roman" w:cs="Times New Roman"/>
              <w:noProof/>
              <w:sz w:val="24"/>
              <w:szCs w:val="24"/>
            </w:rPr>
            <w:drawing>
              <wp:inline distT="0" distB="0" distL="0" distR="0" wp14:anchorId="6B3D0D98" wp14:editId="203F7F13">
                <wp:extent cx="1451306" cy="321869"/>
                <wp:effectExtent l="19050" t="0" r="0" b="0"/>
                <wp:docPr id="1" name="Рисунок 1" descr="Держава(эмблемка)"/>
                <wp:cNvGraphicFramePr/>
                <a:graphic xmlns:a="http://schemas.openxmlformats.org/drawingml/2006/main">
                  <a:graphicData uri="http://schemas.openxmlformats.org/drawingml/2006/picture">
                    <pic:pic xmlns:pic="http://schemas.openxmlformats.org/drawingml/2006/picture">
                      <pic:nvPicPr>
                        <pic:cNvPr id="2" name="Picture 1" descr="Держава(эмблемка)"/>
                        <pic:cNvPicPr>
                          <a:picLocks noChangeAspect="1" noChangeArrowheads="1"/>
                        </pic:cNvPicPr>
                      </pic:nvPicPr>
                      <pic:blipFill>
                        <a:blip r:embed="rId1" cstate="print"/>
                        <a:srcRect/>
                        <a:stretch>
                          <a:fillRect/>
                        </a:stretch>
                      </pic:blipFill>
                      <pic:spPr bwMode="auto">
                        <a:xfrm>
                          <a:off x="0" y="0"/>
                          <a:ext cx="1451578" cy="321929"/>
                        </a:xfrm>
                        <a:prstGeom prst="rect">
                          <a:avLst/>
                        </a:prstGeom>
                        <a:noFill/>
                        <a:ln w="9525">
                          <a:noFill/>
                          <a:miter lim="800000"/>
                          <a:headEnd/>
                          <a:tailEnd/>
                        </a:ln>
                      </pic:spPr>
                    </pic:pic>
                  </a:graphicData>
                </a:graphic>
              </wp:inline>
            </w:drawing>
          </w:r>
        </w:p>
      </w:tc>
      <w:tc>
        <w:tcPr>
          <w:tcW w:w="4786" w:type="dxa"/>
        </w:tcPr>
        <w:p w:rsidR="00D66901" w:rsidRPr="00393A19" w:rsidRDefault="00D66901" w:rsidP="00393A19">
          <w:pPr>
            <w:contextualSpacing/>
            <w:jc w:val="right"/>
            <w:rPr>
              <w:rFonts w:ascii="Times New Roman" w:hAnsi="Times New Roman" w:cs="Times New Roman"/>
              <w:sz w:val="24"/>
              <w:szCs w:val="24"/>
            </w:rPr>
          </w:pPr>
          <w:r w:rsidRPr="00393A19">
            <w:rPr>
              <w:rFonts w:ascii="Times New Roman" w:hAnsi="Times New Roman" w:cs="Times New Roman"/>
              <w:sz w:val="24"/>
              <w:szCs w:val="24"/>
            </w:rPr>
            <w:t>Приложение №</w:t>
          </w:r>
          <w:r w:rsidR="00214170">
            <w:rPr>
              <w:rFonts w:ascii="Times New Roman" w:hAnsi="Times New Roman" w:cs="Times New Roman"/>
              <w:sz w:val="24"/>
              <w:szCs w:val="24"/>
            </w:rPr>
            <w:t>3</w:t>
          </w:r>
          <w:r w:rsidR="00214170" w:rsidRPr="00393A19">
            <w:rPr>
              <w:rFonts w:ascii="Times New Roman" w:hAnsi="Times New Roman" w:cs="Times New Roman"/>
              <w:sz w:val="24"/>
              <w:szCs w:val="24"/>
            </w:rPr>
            <w:t xml:space="preserve"> </w:t>
          </w:r>
        </w:p>
        <w:p w:rsidR="00D66901" w:rsidRPr="00393A19" w:rsidRDefault="00D66901" w:rsidP="00214170">
          <w:pPr>
            <w:contextualSpacing/>
            <w:jc w:val="right"/>
            <w:rPr>
              <w:rFonts w:ascii="Times New Roman" w:hAnsi="Times New Roman" w:cs="Times New Roman"/>
              <w:sz w:val="24"/>
              <w:szCs w:val="24"/>
            </w:rPr>
          </w:pPr>
          <w:r w:rsidRPr="00393A19">
            <w:rPr>
              <w:rFonts w:ascii="Times New Roman" w:hAnsi="Times New Roman" w:cs="Times New Roman"/>
              <w:sz w:val="24"/>
              <w:szCs w:val="24"/>
            </w:rPr>
            <w:t xml:space="preserve">к </w:t>
          </w:r>
          <w:r w:rsidR="00214170">
            <w:rPr>
              <w:rFonts w:ascii="Times New Roman" w:hAnsi="Times New Roman" w:cs="Times New Roman"/>
              <w:sz w:val="24"/>
              <w:szCs w:val="24"/>
            </w:rPr>
            <w:t>Регламенту обслуживания клиентов на финансовых рынках</w:t>
          </w:r>
          <w:r w:rsidRPr="00393A19">
            <w:rPr>
              <w:rFonts w:ascii="Times New Roman" w:hAnsi="Times New Roman" w:cs="Times New Roman"/>
              <w:sz w:val="24"/>
              <w:szCs w:val="24"/>
            </w:rPr>
            <w:t xml:space="preserve"> АКБ «Держава» ПАО</w:t>
          </w:r>
        </w:p>
      </w:tc>
    </w:tr>
  </w:tbl>
  <w:p w:rsidR="00D66901" w:rsidRDefault="00D6690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6C5C"/>
    <w:multiLevelType w:val="hybridMultilevel"/>
    <w:tmpl w:val="6FAA6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4D5E1D"/>
    <w:multiLevelType w:val="hybridMultilevel"/>
    <w:tmpl w:val="AC4C6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141B84"/>
    <w:multiLevelType w:val="hybridMultilevel"/>
    <w:tmpl w:val="B06805A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000F04"/>
    <w:multiLevelType w:val="hybridMultilevel"/>
    <w:tmpl w:val="E00A5D20"/>
    <w:lvl w:ilvl="0" w:tplc="5E7297FA">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ACE6155"/>
    <w:multiLevelType w:val="multilevel"/>
    <w:tmpl w:val="6EF2BC04"/>
    <w:lvl w:ilvl="0">
      <w:start w:val="3"/>
      <w:numFmt w:val="decimal"/>
      <w:pStyle w:val="1"/>
      <w:lvlText w:val="%1."/>
      <w:lvlJc w:val="left"/>
      <w:pPr>
        <w:tabs>
          <w:tab w:val="num" w:pos="540"/>
        </w:tabs>
        <w:ind w:left="540" w:hanging="540"/>
      </w:pPr>
      <w:rPr>
        <w:rFonts w:hint="default"/>
      </w:rPr>
    </w:lvl>
    <w:lvl w:ilvl="1">
      <w:start w:val="3"/>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7AEA3DAA"/>
    <w:multiLevelType w:val="hybridMultilevel"/>
    <w:tmpl w:val="B2341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8D"/>
    <w:rsid w:val="00030F00"/>
    <w:rsid w:val="000346AA"/>
    <w:rsid w:val="00047D29"/>
    <w:rsid w:val="00062781"/>
    <w:rsid w:val="000672FA"/>
    <w:rsid w:val="00083E42"/>
    <w:rsid w:val="000865C1"/>
    <w:rsid w:val="00086EFA"/>
    <w:rsid w:val="00094DE8"/>
    <w:rsid w:val="000A4BAC"/>
    <w:rsid w:val="000A5402"/>
    <w:rsid w:val="000D0EC6"/>
    <w:rsid w:val="000E278B"/>
    <w:rsid w:val="000F220C"/>
    <w:rsid w:val="00100840"/>
    <w:rsid w:val="0015113C"/>
    <w:rsid w:val="00172238"/>
    <w:rsid w:val="00175DDD"/>
    <w:rsid w:val="001905A7"/>
    <w:rsid w:val="001911B1"/>
    <w:rsid w:val="001E5CD4"/>
    <w:rsid w:val="00214170"/>
    <w:rsid w:val="0021478D"/>
    <w:rsid w:val="00223492"/>
    <w:rsid w:val="0024115C"/>
    <w:rsid w:val="00247903"/>
    <w:rsid w:val="00274170"/>
    <w:rsid w:val="002744F4"/>
    <w:rsid w:val="00280AC5"/>
    <w:rsid w:val="002A21C1"/>
    <w:rsid w:val="002F31A7"/>
    <w:rsid w:val="003238C6"/>
    <w:rsid w:val="003763F0"/>
    <w:rsid w:val="00383F6D"/>
    <w:rsid w:val="00393A19"/>
    <w:rsid w:val="003A0BC3"/>
    <w:rsid w:val="003A4C3F"/>
    <w:rsid w:val="003B1611"/>
    <w:rsid w:val="003C2D2D"/>
    <w:rsid w:val="003D5DE0"/>
    <w:rsid w:val="003E36D0"/>
    <w:rsid w:val="00412709"/>
    <w:rsid w:val="00443107"/>
    <w:rsid w:val="0044614D"/>
    <w:rsid w:val="00476216"/>
    <w:rsid w:val="00483E8B"/>
    <w:rsid w:val="004C3830"/>
    <w:rsid w:val="004C661F"/>
    <w:rsid w:val="004E4A88"/>
    <w:rsid w:val="005031EF"/>
    <w:rsid w:val="00532413"/>
    <w:rsid w:val="005354DE"/>
    <w:rsid w:val="005622D2"/>
    <w:rsid w:val="00584A7A"/>
    <w:rsid w:val="005C26A8"/>
    <w:rsid w:val="0060403A"/>
    <w:rsid w:val="0060558D"/>
    <w:rsid w:val="006313F8"/>
    <w:rsid w:val="00653AE5"/>
    <w:rsid w:val="006630D4"/>
    <w:rsid w:val="0068367E"/>
    <w:rsid w:val="006859BE"/>
    <w:rsid w:val="00693EDB"/>
    <w:rsid w:val="006D3B9B"/>
    <w:rsid w:val="0070051F"/>
    <w:rsid w:val="007338F3"/>
    <w:rsid w:val="007974E1"/>
    <w:rsid w:val="007A001E"/>
    <w:rsid w:val="007A7433"/>
    <w:rsid w:val="007B25F6"/>
    <w:rsid w:val="007B72AB"/>
    <w:rsid w:val="007C4928"/>
    <w:rsid w:val="007E398D"/>
    <w:rsid w:val="00817472"/>
    <w:rsid w:val="00822D84"/>
    <w:rsid w:val="0083392E"/>
    <w:rsid w:val="0085113D"/>
    <w:rsid w:val="0086225D"/>
    <w:rsid w:val="008656F6"/>
    <w:rsid w:val="008A13E9"/>
    <w:rsid w:val="008A170F"/>
    <w:rsid w:val="008C1D95"/>
    <w:rsid w:val="009125E4"/>
    <w:rsid w:val="00927042"/>
    <w:rsid w:val="009477AD"/>
    <w:rsid w:val="00947AE5"/>
    <w:rsid w:val="00954BE3"/>
    <w:rsid w:val="009660DD"/>
    <w:rsid w:val="00966F6C"/>
    <w:rsid w:val="00982B43"/>
    <w:rsid w:val="009845F6"/>
    <w:rsid w:val="009C5F73"/>
    <w:rsid w:val="009D275D"/>
    <w:rsid w:val="00A01B88"/>
    <w:rsid w:val="00A91FAC"/>
    <w:rsid w:val="00A935D2"/>
    <w:rsid w:val="00AA22D9"/>
    <w:rsid w:val="00AB4B71"/>
    <w:rsid w:val="00AC4C1F"/>
    <w:rsid w:val="00B073CD"/>
    <w:rsid w:val="00B30C20"/>
    <w:rsid w:val="00B5260B"/>
    <w:rsid w:val="00B66EC2"/>
    <w:rsid w:val="00B856A3"/>
    <w:rsid w:val="00BA7766"/>
    <w:rsid w:val="00BD7C59"/>
    <w:rsid w:val="00BF31D5"/>
    <w:rsid w:val="00C52354"/>
    <w:rsid w:val="00CB609A"/>
    <w:rsid w:val="00CD5089"/>
    <w:rsid w:val="00D14134"/>
    <w:rsid w:val="00D2654B"/>
    <w:rsid w:val="00D51E7B"/>
    <w:rsid w:val="00D66901"/>
    <w:rsid w:val="00DA39DF"/>
    <w:rsid w:val="00DB729E"/>
    <w:rsid w:val="00DE6DCF"/>
    <w:rsid w:val="00E13350"/>
    <w:rsid w:val="00E36B17"/>
    <w:rsid w:val="00E4170A"/>
    <w:rsid w:val="00E731C3"/>
    <w:rsid w:val="00E80ADB"/>
    <w:rsid w:val="00E82097"/>
    <w:rsid w:val="00E9776E"/>
    <w:rsid w:val="00EA0A25"/>
    <w:rsid w:val="00EA3066"/>
    <w:rsid w:val="00EA4596"/>
    <w:rsid w:val="00EA4947"/>
    <w:rsid w:val="00ED4648"/>
    <w:rsid w:val="00F02EC7"/>
    <w:rsid w:val="00F67F8B"/>
    <w:rsid w:val="00FB79B9"/>
    <w:rsid w:val="00FC5B8A"/>
    <w:rsid w:val="00FD033F"/>
    <w:rsid w:val="00FD472B"/>
    <w:rsid w:val="00FE3606"/>
    <w:rsid w:val="00FE4BC8"/>
    <w:rsid w:val="00FF143B"/>
    <w:rsid w:val="00FF6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4CB1A7C-CF5C-489A-BE66-24E539E7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5113C"/>
    <w:pPr>
      <w:keepNext/>
      <w:keepLines/>
      <w:widowControl w:val="0"/>
      <w:numPr>
        <w:numId w:val="4"/>
      </w:numPr>
      <w:spacing w:before="240" w:after="0" w:line="240" w:lineRule="auto"/>
      <w:jc w:val="both"/>
      <w:outlineLvl w:val="0"/>
    </w:pPr>
    <w:rPr>
      <w:rFonts w:ascii="Times New Roman" w:eastAsia="Times New Roman" w:hAnsi="Times New Roman" w:cs="Times New Roman"/>
      <w:b/>
      <w:cap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7E398D"/>
    <w:pPr>
      <w:spacing w:after="0" w:line="240" w:lineRule="auto"/>
      <w:ind w:firstLine="567"/>
      <w:jc w:val="both"/>
    </w:pPr>
    <w:rPr>
      <w:rFonts w:ascii="Times New Roman" w:eastAsia="Times New Roman" w:hAnsi="Times New Roman" w:cs="Times New Roman"/>
      <w:sz w:val="16"/>
      <w:szCs w:val="20"/>
    </w:rPr>
  </w:style>
  <w:style w:type="table" w:styleId="a3">
    <w:name w:val="Table Grid"/>
    <w:basedOn w:val="a1"/>
    <w:uiPriority w:val="59"/>
    <w:rsid w:val="007E3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661F"/>
    <w:pPr>
      <w:ind w:left="720"/>
      <w:contextualSpacing/>
    </w:pPr>
  </w:style>
  <w:style w:type="character" w:styleId="a5">
    <w:name w:val="annotation reference"/>
    <w:basedOn w:val="a0"/>
    <w:uiPriority w:val="99"/>
    <w:semiHidden/>
    <w:unhideWhenUsed/>
    <w:rsid w:val="008A170F"/>
    <w:rPr>
      <w:sz w:val="16"/>
      <w:szCs w:val="16"/>
    </w:rPr>
  </w:style>
  <w:style w:type="paragraph" w:styleId="a6">
    <w:name w:val="annotation text"/>
    <w:basedOn w:val="a"/>
    <w:link w:val="a7"/>
    <w:uiPriority w:val="99"/>
    <w:semiHidden/>
    <w:unhideWhenUsed/>
    <w:rsid w:val="008A170F"/>
    <w:pPr>
      <w:spacing w:line="240" w:lineRule="auto"/>
    </w:pPr>
    <w:rPr>
      <w:sz w:val="20"/>
      <w:szCs w:val="20"/>
    </w:rPr>
  </w:style>
  <w:style w:type="character" w:customStyle="1" w:styleId="a7">
    <w:name w:val="Текст примечания Знак"/>
    <w:basedOn w:val="a0"/>
    <w:link w:val="a6"/>
    <w:uiPriority w:val="99"/>
    <w:semiHidden/>
    <w:rsid w:val="008A170F"/>
    <w:rPr>
      <w:sz w:val="20"/>
      <w:szCs w:val="20"/>
    </w:rPr>
  </w:style>
  <w:style w:type="paragraph" w:styleId="a8">
    <w:name w:val="annotation subject"/>
    <w:basedOn w:val="a6"/>
    <w:next w:val="a6"/>
    <w:link w:val="a9"/>
    <w:uiPriority w:val="99"/>
    <w:semiHidden/>
    <w:unhideWhenUsed/>
    <w:rsid w:val="008A170F"/>
    <w:rPr>
      <w:b/>
      <w:bCs/>
    </w:rPr>
  </w:style>
  <w:style w:type="character" w:customStyle="1" w:styleId="a9">
    <w:name w:val="Тема примечания Знак"/>
    <w:basedOn w:val="a7"/>
    <w:link w:val="a8"/>
    <w:uiPriority w:val="99"/>
    <w:semiHidden/>
    <w:rsid w:val="008A170F"/>
    <w:rPr>
      <w:b/>
      <w:bCs/>
      <w:sz w:val="20"/>
      <w:szCs w:val="20"/>
    </w:rPr>
  </w:style>
  <w:style w:type="paragraph" w:styleId="aa">
    <w:name w:val="Balloon Text"/>
    <w:basedOn w:val="a"/>
    <w:link w:val="ab"/>
    <w:uiPriority w:val="99"/>
    <w:semiHidden/>
    <w:unhideWhenUsed/>
    <w:rsid w:val="008A170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A170F"/>
    <w:rPr>
      <w:rFonts w:ascii="Tahoma" w:hAnsi="Tahoma" w:cs="Tahoma"/>
      <w:sz w:val="16"/>
      <w:szCs w:val="16"/>
    </w:rPr>
  </w:style>
  <w:style w:type="paragraph" w:styleId="ac">
    <w:name w:val="header"/>
    <w:basedOn w:val="a"/>
    <w:link w:val="ad"/>
    <w:uiPriority w:val="99"/>
    <w:unhideWhenUsed/>
    <w:rsid w:val="00393A1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93A19"/>
  </w:style>
  <w:style w:type="paragraph" w:styleId="ae">
    <w:name w:val="footer"/>
    <w:basedOn w:val="a"/>
    <w:link w:val="af"/>
    <w:uiPriority w:val="99"/>
    <w:unhideWhenUsed/>
    <w:rsid w:val="00393A1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93A19"/>
  </w:style>
  <w:style w:type="character" w:customStyle="1" w:styleId="10">
    <w:name w:val="Заголовок 1 Знак"/>
    <w:basedOn w:val="a0"/>
    <w:link w:val="1"/>
    <w:rsid w:val="0015113C"/>
    <w:rPr>
      <w:rFonts w:ascii="Times New Roman" w:eastAsia="Times New Roman" w:hAnsi="Times New Roman" w:cs="Times New Roman"/>
      <w:b/>
      <w:caps/>
      <w:sz w:val="26"/>
      <w:szCs w:val="20"/>
      <w:lang w:eastAsia="ru-RU"/>
    </w:rPr>
  </w:style>
  <w:style w:type="paragraph" w:styleId="af0">
    <w:name w:val="endnote text"/>
    <w:basedOn w:val="a"/>
    <w:link w:val="af1"/>
    <w:uiPriority w:val="99"/>
    <w:semiHidden/>
    <w:unhideWhenUsed/>
    <w:rsid w:val="00A91FAC"/>
    <w:pPr>
      <w:spacing w:after="0" w:line="240" w:lineRule="auto"/>
    </w:pPr>
    <w:rPr>
      <w:sz w:val="20"/>
      <w:szCs w:val="20"/>
    </w:rPr>
  </w:style>
  <w:style w:type="character" w:customStyle="1" w:styleId="af1">
    <w:name w:val="Текст концевой сноски Знак"/>
    <w:basedOn w:val="a0"/>
    <w:link w:val="af0"/>
    <w:uiPriority w:val="99"/>
    <w:semiHidden/>
    <w:rsid w:val="00A91FAC"/>
    <w:rPr>
      <w:sz w:val="20"/>
      <w:szCs w:val="20"/>
    </w:rPr>
  </w:style>
  <w:style w:type="character" w:styleId="af2">
    <w:name w:val="endnote reference"/>
    <w:basedOn w:val="a0"/>
    <w:uiPriority w:val="99"/>
    <w:semiHidden/>
    <w:unhideWhenUsed/>
    <w:rsid w:val="00A91FAC"/>
    <w:rPr>
      <w:vertAlign w:val="superscript"/>
    </w:rPr>
  </w:style>
  <w:style w:type="paragraph" w:styleId="af3">
    <w:name w:val="footnote text"/>
    <w:basedOn w:val="a"/>
    <w:link w:val="af4"/>
    <w:uiPriority w:val="99"/>
    <w:semiHidden/>
    <w:unhideWhenUsed/>
    <w:rsid w:val="00A91FAC"/>
    <w:pPr>
      <w:spacing w:after="0" w:line="240" w:lineRule="auto"/>
    </w:pPr>
    <w:rPr>
      <w:sz w:val="20"/>
      <w:szCs w:val="20"/>
    </w:rPr>
  </w:style>
  <w:style w:type="character" w:customStyle="1" w:styleId="af4">
    <w:name w:val="Текст сноски Знак"/>
    <w:basedOn w:val="a0"/>
    <w:link w:val="af3"/>
    <w:uiPriority w:val="99"/>
    <w:semiHidden/>
    <w:rsid w:val="00A91FAC"/>
    <w:rPr>
      <w:sz w:val="20"/>
      <w:szCs w:val="20"/>
    </w:rPr>
  </w:style>
  <w:style w:type="character" w:styleId="af5">
    <w:name w:val="footnote reference"/>
    <w:basedOn w:val="a0"/>
    <w:uiPriority w:val="99"/>
    <w:semiHidden/>
    <w:unhideWhenUsed/>
    <w:rsid w:val="00A91FAC"/>
    <w:rPr>
      <w:vertAlign w:val="superscript"/>
    </w:rPr>
  </w:style>
  <w:style w:type="paragraph" w:styleId="af6">
    <w:name w:val="Body Text"/>
    <w:basedOn w:val="a"/>
    <w:link w:val="af7"/>
    <w:uiPriority w:val="1"/>
    <w:qFormat/>
    <w:rsid w:val="006859BE"/>
    <w:pPr>
      <w:widowControl w:val="0"/>
      <w:autoSpaceDE w:val="0"/>
      <w:autoSpaceDN w:val="0"/>
      <w:spacing w:after="0" w:line="240" w:lineRule="auto"/>
    </w:pPr>
    <w:rPr>
      <w:rFonts w:ascii="Arial" w:eastAsia="Arial" w:hAnsi="Arial" w:cs="Arial"/>
      <w:sz w:val="20"/>
      <w:szCs w:val="20"/>
      <w:lang w:bidi="ru-RU"/>
    </w:rPr>
  </w:style>
  <w:style w:type="character" w:customStyle="1" w:styleId="af7">
    <w:name w:val="Основной текст Знак"/>
    <w:basedOn w:val="a0"/>
    <w:link w:val="af6"/>
    <w:uiPriority w:val="1"/>
    <w:rsid w:val="006859BE"/>
    <w:rPr>
      <w:rFonts w:ascii="Arial" w:eastAsia="Arial" w:hAnsi="Arial" w:cs="Arial"/>
      <w:sz w:val="20"/>
      <w:szCs w:val="20"/>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4ECC9-6471-4F16-85E9-B1D686BE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589</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ivzueva</dc:creator>
  <cp:lastModifiedBy>Мидзяновская Ольга Викторовна</cp:lastModifiedBy>
  <cp:revision>4</cp:revision>
  <cp:lastPrinted>2023-06-13T13:59:00Z</cp:lastPrinted>
  <dcterms:created xsi:type="dcterms:W3CDTF">2023-09-15T11:37:00Z</dcterms:created>
  <dcterms:modified xsi:type="dcterms:W3CDTF">2024-11-27T14:17:00Z</dcterms:modified>
</cp:coreProperties>
</file>