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D" w:rsidRDefault="00ED2B8F" w:rsidP="00ED2B8F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ЗАЯВЛЕНИЕ О ПРИСОЕДИНЕНИИ</w:t>
      </w:r>
    </w:p>
    <w:p w:rsidR="00ED2B8F" w:rsidRDefault="00ED2B8F" w:rsidP="00ED2B8F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(для физического лица)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993"/>
        <w:gridCol w:w="141"/>
        <w:gridCol w:w="993"/>
        <w:gridCol w:w="1417"/>
        <w:gridCol w:w="142"/>
        <w:gridCol w:w="992"/>
        <w:gridCol w:w="2268"/>
      </w:tblGrid>
      <w:tr w:rsidR="00ED2B8F" w:rsidRPr="00FA6A4D" w:rsidTr="005A6696">
        <w:trPr>
          <w:trHeight w:val="351"/>
        </w:trPr>
        <w:tc>
          <w:tcPr>
            <w:tcW w:w="9923" w:type="dxa"/>
            <w:gridSpan w:val="10"/>
            <w:shd w:val="clear" w:color="auto" w:fill="D5D7D7"/>
            <w:vAlign w:val="center"/>
          </w:tcPr>
          <w:p w:rsidR="00ED2B8F" w:rsidRDefault="00ED2B8F" w:rsidP="005A6696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Клиенте:</w:t>
            </w:r>
          </w:p>
        </w:tc>
      </w:tr>
      <w:tr w:rsidR="00ED2B8F" w:rsidRPr="00FA6A4D" w:rsidTr="005A6696">
        <w:tc>
          <w:tcPr>
            <w:tcW w:w="3970" w:type="dxa"/>
            <w:gridSpan w:val="4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Имя Отчество (</w:t>
            </w:r>
            <w:r w:rsidRPr="003E3803">
              <w:rPr>
                <w:rFonts w:ascii="Times New Roman" w:hAnsi="Times New Roman" w:cs="Times New Roman"/>
              </w:rPr>
              <w:t>если иное не вытекает из закона или национального обычая) полностью: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="00ED2B8F" w:rsidRPr="00FA6A4D" w:rsidTr="005A6696">
        <w:trPr>
          <w:trHeight w:val="599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ED2B8F" w:rsidRPr="00FA6A4D" w:rsidRDefault="00ED2B8F" w:rsidP="007A6192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/>
              </w:rPr>
              <w:t>Адрес места жительства (регистрации)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6192">
              <w:rPr>
                <w:rFonts w:ascii="Times New Roman" w:hAnsi="Times New Roman" w:cs="Times New Roman"/>
              </w:rPr>
              <w:t>А</w:t>
            </w:r>
            <w:r w:rsidR="007A6192" w:rsidRPr="003E3803">
              <w:rPr>
                <w:rFonts w:ascii="Times New Roman" w:hAnsi="Times New Roman" w:cs="Times New Roman"/>
              </w:rPr>
              <w:t xml:space="preserve">дрес </w:t>
            </w:r>
            <w:r w:rsidRPr="003E3803">
              <w:rPr>
                <w:rFonts w:ascii="Times New Roman" w:hAnsi="Times New Roman" w:cs="Times New Roman"/>
              </w:rPr>
              <w:t xml:space="preserve">пребывания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ED2B8F" w:rsidRPr="00FA6A4D" w:rsidTr="005A6696">
        <w:tc>
          <w:tcPr>
            <w:tcW w:w="9923" w:type="dxa"/>
            <w:gridSpan w:val="10"/>
            <w:shd w:val="clear" w:color="auto" w:fill="D5D6D7"/>
            <w:vAlign w:val="center"/>
          </w:tcPr>
          <w:p w:rsidR="00ED2B8F" w:rsidRDefault="00ED2B8F" w:rsidP="005A6696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документе, удостоверяющем личность:</w:t>
            </w:r>
          </w:p>
        </w:tc>
      </w:tr>
      <w:tr w:rsidR="00ED2B8F" w:rsidRPr="00FA6A4D" w:rsidTr="005A6696">
        <w:tc>
          <w:tcPr>
            <w:tcW w:w="1985" w:type="dxa"/>
            <w:gridSpan w:val="2"/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B8F" w:rsidRPr="00FA6A4D" w:rsidRDefault="00804EB7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(если имеется)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B8F" w:rsidRPr="00FA6A4D" w:rsidRDefault="00804EB7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2B8F" w:rsidRPr="00FA6A4D" w:rsidTr="005A6696">
        <w:tc>
          <w:tcPr>
            <w:tcW w:w="2977" w:type="dxa"/>
            <w:gridSpan w:val="3"/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bookmarkStart w:id="0" w:name="_GoBack"/>
            <w:r w:rsidRPr="003E3803">
              <w:rPr>
                <w:rFonts w:ascii="Times New Roman" w:hAnsi="Times New Roman" w:cs="Times New Roman"/>
              </w:rPr>
              <w:t>орган, выдавший документ: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bookmarkEnd w:id="0"/>
      <w:tr w:rsidR="00ED2B8F" w:rsidRPr="00FA6A4D" w:rsidTr="005A6696">
        <w:tc>
          <w:tcPr>
            <w:tcW w:w="1560" w:type="dxa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код подразделения (при наличии):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D2B8F" w:rsidRDefault="00ED2B8F" w:rsidP="002B7C4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ED2B8F" w:rsidRDefault="00ED2B8F" w:rsidP="002B7C4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5A6696">
        <w:rPr>
          <w:rFonts w:ascii="Times New Roman" w:eastAsia="Times New Roman" w:hAnsi="Times New Roman"/>
          <w:sz w:val="20"/>
          <w:szCs w:val="20"/>
        </w:rPr>
        <w:t>Данные миграционной карты</w:t>
      </w:r>
      <w:r>
        <w:rPr>
          <w:rFonts w:ascii="Times New Roman" w:eastAsia="Times New Roman" w:hAnsi="Times New Roman"/>
          <w:sz w:val="20"/>
          <w:szCs w:val="20"/>
        </w:rPr>
        <w:t xml:space="preserve"> (номер карты)</w:t>
      </w:r>
      <w:r w:rsidRPr="005A6696">
        <w:rPr>
          <w:rFonts w:ascii="Times New Roman" w:eastAsia="Times New Roman" w:hAnsi="Times New Roman"/>
          <w:sz w:val="20"/>
          <w:szCs w:val="20"/>
        </w:rPr>
        <w:t>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3118"/>
        <w:gridCol w:w="1985"/>
      </w:tblGrid>
      <w:tr w:rsidR="00ED2B8F" w:rsidRPr="00FA6A4D" w:rsidTr="005A6696">
        <w:tc>
          <w:tcPr>
            <w:tcW w:w="2835" w:type="dxa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5A6696">
              <w:rPr>
                <w:rFonts w:ascii="Times New Roman" w:hAnsi="Times New Roman" w:cs="Times New Roman"/>
              </w:rPr>
              <w:t>начала срока пребывания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ED2B8F" w:rsidRPr="0077708F" w:rsidRDefault="00ED2B8F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803">
              <w:rPr>
                <w:rFonts w:ascii="Times New Roman" w:hAnsi="Times New Roman" w:cs="Times New Roman"/>
                <w:sz w:val="18"/>
                <w:szCs w:val="18"/>
              </w:rPr>
              <w:t xml:space="preserve">Дата окончания срока </w:t>
            </w:r>
            <w:r w:rsidRPr="00A033DC">
              <w:rPr>
                <w:rFonts w:ascii="Times New Roman" w:hAnsi="Times New Roman" w:cs="Times New Roman"/>
              </w:rPr>
              <w:t>пребывания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ED2B8F" w:rsidRPr="00FA6A4D" w:rsidRDefault="00ED2B8F" w:rsidP="002B7C40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:rsidR="00ED2B8F" w:rsidRPr="005A6696" w:rsidRDefault="00ED2B8F" w:rsidP="002B7C4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1134"/>
        <w:gridCol w:w="993"/>
        <w:gridCol w:w="1417"/>
        <w:gridCol w:w="142"/>
        <w:gridCol w:w="992"/>
        <w:gridCol w:w="2268"/>
      </w:tblGrid>
      <w:tr w:rsidR="00ED2B8F" w:rsidRPr="00FA6A4D" w:rsidTr="005A6696">
        <w:tc>
          <w:tcPr>
            <w:tcW w:w="9923" w:type="dxa"/>
            <w:gridSpan w:val="9"/>
            <w:shd w:val="clear" w:color="auto" w:fill="D5D6D7"/>
            <w:vAlign w:val="center"/>
          </w:tcPr>
          <w:p w:rsidR="00ED2B8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 w:rsidRPr="00FA6A4D">
              <w:rPr>
                <w:rFonts w:ascii="Times New Roman" w:hAnsi="Times New Roman" w:cs="Times New Roman"/>
              </w:rPr>
              <w:t xml:space="preserve">Сведения о документе, </w:t>
            </w:r>
            <w:r w:rsidRPr="003E3803">
              <w:rPr>
                <w:rFonts w:ascii="Times New Roman" w:hAnsi="Times New Roman" w:cs="Times New Roman"/>
              </w:rPr>
              <w:t>подтверждающий право иностранного гражданина или лица без гражданства на пребывание (проживание) в РФ</w:t>
            </w:r>
          </w:p>
        </w:tc>
      </w:tr>
      <w:tr w:rsidR="00ED2B8F" w:rsidRPr="00FA6A4D" w:rsidTr="005A6696">
        <w:tc>
          <w:tcPr>
            <w:tcW w:w="1985" w:type="dxa"/>
            <w:gridSpan w:val="2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 w:rsidRPr="00FA6A4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(если имеется)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ED2B8F" w:rsidRPr="00FA6A4D" w:rsidTr="005A6696">
        <w:tc>
          <w:tcPr>
            <w:tcW w:w="1560" w:type="dxa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FA6A4D">
              <w:rPr>
                <w:rFonts w:ascii="Times New Roman" w:hAnsi="Times New Roman" w:cs="Times New Roman"/>
              </w:rPr>
              <w:t>выдачи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:rsidR="00ED2B8F" w:rsidRPr="0077708F" w:rsidRDefault="00ED2B8F" w:rsidP="005A6696">
            <w:pPr>
              <w:pStyle w:val="00"/>
              <w:spacing w:before="120"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803">
              <w:rPr>
                <w:rFonts w:ascii="Times New Roman" w:hAnsi="Times New Roman" w:cs="Times New Roman"/>
                <w:sz w:val="18"/>
                <w:szCs w:val="18"/>
              </w:rPr>
              <w:t>Дата начала и окончания срока действия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6696">
              <w:rPr>
                <w:rFonts w:ascii="Times New Roman" w:hAnsi="Times New Roman" w:cs="Times New Roman"/>
              </w:rPr>
              <w:t>права пребывания (проживания)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:rsidR="00ED2B8F" w:rsidRPr="00F34506" w:rsidRDefault="00ED2B8F" w:rsidP="00F34506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4506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соответствии со статьей 428 Гражданского кодекса РФ полностью и безоговорочно </w:t>
      </w:r>
      <w:r w:rsidRPr="00F34506">
        <w:rPr>
          <w:rFonts w:ascii="Times New Roman" w:hAnsi="Times New Roman"/>
          <w:b/>
          <w:sz w:val="20"/>
          <w:szCs w:val="20"/>
        </w:rPr>
        <w:t>присоединяется к условиям и акцептует</w:t>
      </w:r>
      <w:r w:rsidR="00804EB7" w:rsidRPr="00F34506">
        <w:rPr>
          <w:rFonts w:ascii="Times New Roman" w:hAnsi="Times New Roman"/>
          <w:b/>
          <w:sz w:val="20"/>
          <w:szCs w:val="20"/>
        </w:rPr>
        <w:t xml:space="preserve"> Договор </w:t>
      </w:r>
      <w:r w:rsidRPr="00F34506">
        <w:rPr>
          <w:rFonts w:ascii="Times New Roman" w:hAnsi="Times New Roman"/>
          <w:b/>
          <w:sz w:val="20"/>
          <w:szCs w:val="20"/>
        </w:rPr>
        <w:t>на брокерское обслуживание (далее - Договор), условия которого определены АКБ «Держава» ПАО (далее - Банк), и просит Банк открыть Клиенту Брокерский счет (счета) в соответствии с условиями обслуживания, указанными им в Заявлении на обслуживание</w:t>
      </w:r>
      <w:r w:rsidR="00F34506" w:rsidRPr="00F34506">
        <w:rPr>
          <w:rFonts w:ascii="Times New Roman" w:hAnsi="Times New Roman"/>
          <w:b/>
          <w:sz w:val="20"/>
          <w:szCs w:val="20"/>
        </w:rPr>
        <w:t>.</w:t>
      </w:r>
    </w:p>
    <w:p w:rsidR="00ED2B8F" w:rsidRPr="002B7C40" w:rsidRDefault="00ED2B8F" w:rsidP="00F34506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7C40">
        <w:rPr>
          <w:rFonts w:ascii="Times New Roman" w:hAnsi="Times New Roman" w:cs="Times New Roman"/>
          <w:b/>
          <w:sz w:val="20"/>
          <w:szCs w:val="20"/>
        </w:rPr>
        <w:t>Подписывая настоящее Заявление,</w:t>
      </w:r>
      <w:r w:rsidRPr="002B7C40" w:rsidDel="00B63D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b/>
          <w:sz w:val="20"/>
          <w:szCs w:val="20"/>
        </w:rPr>
        <w:t>Клиент подтверждает, что: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ознакомлен </w:t>
      </w:r>
      <w:r w:rsidR="004B2711">
        <w:rPr>
          <w:rFonts w:ascii="Times New Roman" w:hAnsi="Times New Roman" w:cs="Times New Roman"/>
          <w:sz w:val="20"/>
          <w:szCs w:val="20"/>
        </w:rPr>
        <w:t>с основными</w:t>
      </w:r>
      <w:r w:rsidRPr="002B7C40">
        <w:rPr>
          <w:rFonts w:ascii="Times New Roman" w:hAnsi="Times New Roman" w:cs="Times New Roman"/>
          <w:sz w:val="20"/>
          <w:szCs w:val="20"/>
        </w:rPr>
        <w:t xml:space="preserve"> положениями Договора. Клиенту в полном объеме разъяснены </w:t>
      </w:r>
      <w:r w:rsidR="004B2711">
        <w:rPr>
          <w:rFonts w:ascii="Times New Roman" w:hAnsi="Times New Roman" w:cs="Times New Roman"/>
          <w:sz w:val="20"/>
          <w:szCs w:val="20"/>
        </w:rPr>
        <w:t>основные</w:t>
      </w:r>
      <w:r w:rsidR="004B2711" w:rsidRPr="002B7C40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 xml:space="preserve">положения </w:t>
      </w:r>
      <w:r w:rsidR="004B2711">
        <w:rPr>
          <w:rFonts w:ascii="Times New Roman" w:hAnsi="Times New Roman" w:cs="Times New Roman"/>
          <w:sz w:val="20"/>
          <w:szCs w:val="20"/>
        </w:rPr>
        <w:t>Договора</w:t>
      </w:r>
      <w:r w:rsidRPr="002B7C40">
        <w:rPr>
          <w:rFonts w:ascii="Times New Roman" w:hAnsi="Times New Roman" w:cs="Times New Roman"/>
          <w:sz w:val="20"/>
          <w:szCs w:val="20"/>
        </w:rPr>
        <w:t xml:space="preserve">, включая взаимные права и обязанности, а также правила внесения изменений и дополнений в </w:t>
      </w:r>
      <w:r w:rsidR="004B2711">
        <w:rPr>
          <w:rFonts w:ascii="Times New Roman" w:hAnsi="Times New Roman" w:cs="Times New Roman"/>
          <w:sz w:val="20"/>
          <w:szCs w:val="20"/>
        </w:rPr>
        <w:t>Договор</w:t>
      </w:r>
      <w:r w:rsidRPr="002B7C40">
        <w:rPr>
          <w:rFonts w:ascii="Times New Roman" w:hAnsi="Times New Roman" w:cs="Times New Roman"/>
          <w:sz w:val="20"/>
          <w:szCs w:val="20"/>
        </w:rPr>
        <w:t>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после подачи настоящего Заявления Клиент не может ссылаться на то, что он не ознакомился с </w:t>
      </w:r>
      <w:r w:rsidR="004B2711">
        <w:rPr>
          <w:rFonts w:ascii="Times New Roman" w:hAnsi="Times New Roman" w:cs="Times New Roman"/>
          <w:sz w:val="20"/>
          <w:szCs w:val="20"/>
        </w:rPr>
        <w:t>Договором и приложениями к нему в полном объеме</w:t>
      </w:r>
      <w:r w:rsidRPr="002B7C40">
        <w:rPr>
          <w:rFonts w:ascii="Times New Roman" w:hAnsi="Times New Roman" w:cs="Times New Roman"/>
          <w:sz w:val="20"/>
          <w:szCs w:val="20"/>
        </w:rPr>
        <w:t xml:space="preserve"> либо не признает их обязательность в договорных отношениях с Банком;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ознакомлен с Декларацией о рисках, связанных с осуществлением операций на рынке ценных бумаг и срочном рынке, содержащейся в Договоре на брокерское обслуживание (далее - Декларация), а также, обязуется соблюдать все положения вышеуказанных документов, осознает и принимает на себя риски, изложенные в Декларации;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поставлен в известность о факте совмещения Банком депозитарной деятельности с брокерской и дилерской деятельностью на рынке ценных бумаг;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проинформирован о правах и гарантиях, предоставляемых ему в соответствии со статьей 6 Федерального закона № 46-ФЗ от 05.03.1999 «О защите прав и законных интересов инвесторов на рынке ценных бумаг»;</w:t>
      </w:r>
    </w:p>
    <w:p w:rsidR="00ED2B8F" w:rsidRDefault="007A6192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/ обязуется ознакомиться </w:t>
      </w:r>
      <w:r w:rsidR="00ED2B8F" w:rsidRPr="002B7C40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Московская Биржа, Правилами организованных торгов на Срочном рынке ПАО Московская Биржа, Правилами проведения организованных торгов ценными бумагами ПАО «Санкт-Петербургская биржа»; </w:t>
      </w:r>
    </w:p>
    <w:p w:rsidR="007A6192" w:rsidRPr="002B7C40" w:rsidRDefault="007A6192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с </w:t>
      </w:r>
      <w:r w:rsidR="0037562F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нформационными материалами об инструментах финансового рынка</w:t>
      </w:r>
      <w:r w:rsidR="0037562F">
        <w:rPr>
          <w:rFonts w:ascii="Times New Roman" w:hAnsi="Times New Roman" w:cs="Times New Roman"/>
          <w:sz w:val="20"/>
          <w:szCs w:val="20"/>
        </w:rPr>
        <w:t>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ознакомлен с нормативными документами, устанавливающими требования к функционированию Срочного рынка, и возможными рисками, связанными с совершением срочных сделок;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уведомлен о недопустимости использования инсайдерской информации и манипулирования рынком в соответствии с требованиями Федерального закона от 27.07.2010 № 224-ФЗ «О противодействии неправомерному </w:t>
      </w:r>
      <w:r w:rsidRPr="002B7C40">
        <w:rPr>
          <w:rFonts w:ascii="Times New Roman" w:hAnsi="Times New Roman" w:cs="Times New Roman"/>
          <w:sz w:val="20"/>
          <w:szCs w:val="20"/>
        </w:rPr>
        <w:lastRenderedPageBreak/>
        <w:t>использованию инсайдерской информации и манипулированию рынком и о внесении изменений в отдельные законодательные акты Российской Федерации»;</w:t>
      </w:r>
    </w:p>
    <w:p w:rsidR="00ED2B8F" w:rsidRPr="002B7C40" w:rsidRDefault="00ED2B8F" w:rsidP="00F3450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данных», а также в целях з</w:t>
      </w:r>
      <w:r w:rsidR="00F62E5D">
        <w:rPr>
          <w:rFonts w:ascii="Times New Roman" w:hAnsi="Times New Roman" w:cs="Times New Roman"/>
          <w:sz w:val="20"/>
          <w:szCs w:val="20"/>
        </w:rPr>
        <w:t>аключения и исполнения Договора</w:t>
      </w:r>
      <w:r w:rsidRPr="002B7C40">
        <w:rPr>
          <w:rFonts w:ascii="Times New Roman" w:hAnsi="Times New Roman" w:cs="Times New Roman"/>
          <w:sz w:val="20"/>
          <w:szCs w:val="20"/>
        </w:rPr>
        <w:t xml:space="preserve"> настоящим дает согласие Банку на обработку, в том числе автоматизированную, своих  персональных данных, которые указаны в настоящем Заявлении и иных документах, которые будут предоставлены Банку в связи с заключением и в процессе исполнения Договоров (под 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уничтожение)</w:t>
      </w:r>
      <w:r w:rsidR="00980BC6" w:rsidRPr="002B7C40">
        <w:rPr>
          <w:rFonts w:ascii="Times New Roman" w:hAnsi="Times New Roman" w:cs="Times New Roman"/>
          <w:sz w:val="20"/>
          <w:szCs w:val="20"/>
        </w:rPr>
        <w:t>; подтверждает, что ему</w:t>
      </w:r>
      <w:r w:rsidR="002B7C40" w:rsidRPr="002B7C40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>сообщена Банком информация о наименовании и адресе местонахождения Банка, о цели обработки персональных данных и ее правовых основаниях, о предполагаемых пользователях персональных данных, и о правах данных лиц, как субъектов персональных данных;</w:t>
      </w:r>
    </w:p>
    <w:p w:rsidR="002B7C40" w:rsidRPr="002B7C40" w:rsidRDefault="002B7C40" w:rsidP="00F34506">
      <w:pPr>
        <w:pStyle w:val="af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B7C40">
        <w:rPr>
          <w:rFonts w:ascii="Times New Roman" w:hAnsi="Times New Roman"/>
          <w:sz w:val="20"/>
          <w:szCs w:val="20"/>
        </w:rPr>
        <w:t>дает согласие на передачу персональных данных и иных сведений о себе, предоставленных Банку в целях проведения идентификации, третьим лицам, если они являются инфраструктурными или регуляторными организациями (включая</w:t>
      </w:r>
      <w:r w:rsidR="00F62E5D">
        <w:rPr>
          <w:rFonts w:ascii="Times New Roman" w:hAnsi="Times New Roman"/>
          <w:sz w:val="20"/>
          <w:szCs w:val="20"/>
        </w:rPr>
        <w:t>,</w:t>
      </w:r>
      <w:r w:rsidRPr="002B7C40">
        <w:rPr>
          <w:rFonts w:ascii="Times New Roman" w:hAnsi="Times New Roman"/>
          <w:sz w:val="20"/>
          <w:szCs w:val="20"/>
        </w:rPr>
        <w:t xml:space="preserve"> но не ограничиваясь, организаторам торгов, клиринговым организациям, вышестоящим депозитариям, Центральному Банку РФ) и/или контрагентами Банка, действующего в интересах Клиента, в случае получения соответствующих запросов от них</w:t>
      </w:r>
    </w:p>
    <w:p w:rsidR="00ED2B8F" w:rsidRPr="002B7C40" w:rsidRDefault="00ED2B8F" w:rsidP="00F62E5D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Подписывая настоящее Заявление, Клиент подтверждает подачу в Банк всех условных поручений, которые содержатся в Договорах и приложениях к ним. Все условия исполнения указанных условных поручений Клиенту понятны.</w:t>
      </w:r>
    </w:p>
    <w:p w:rsidR="00ED2B8F" w:rsidRPr="00FA6A4D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ED2B8F" w:rsidRPr="00FA6A4D" w:rsidTr="005A6696">
        <w:tc>
          <w:tcPr>
            <w:tcW w:w="9782" w:type="dxa"/>
            <w:gridSpan w:val="8"/>
            <w:shd w:val="clear" w:color="auto" w:fill="D5D7D7"/>
            <w:vAlign w:val="center"/>
          </w:tcPr>
          <w:p w:rsidR="00ED2B8F" w:rsidRDefault="00ED2B8F" w:rsidP="005A6696">
            <w:pPr>
              <w:pStyle w:val="00"/>
              <w:spacing w:after="0"/>
              <w:ind w:left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Подпись Клиента/Представителя Клиента:</w:t>
            </w:r>
          </w:p>
        </w:tc>
      </w:tr>
      <w:tr w:rsidR="00ED2B8F" w:rsidRPr="00FA6A4D" w:rsidTr="005A6696">
        <w:tc>
          <w:tcPr>
            <w:tcW w:w="4253" w:type="dxa"/>
            <w:gridSpan w:val="3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 xml:space="preserve">Дата заполнения/подписания </w:t>
            </w:r>
            <w:r>
              <w:rPr>
                <w:rFonts w:ascii="Times New Roman" w:hAnsi="Times New Roman" w:cs="Times New Roman"/>
                <w:szCs w:val="20"/>
              </w:rPr>
              <w:t>З</w:t>
            </w:r>
            <w:r w:rsidRPr="003E3803">
              <w:rPr>
                <w:rFonts w:ascii="Times New Roman" w:hAnsi="Times New Roman" w:cs="Times New Roman"/>
                <w:szCs w:val="20"/>
              </w:rPr>
              <w:t>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c>
          <w:tcPr>
            <w:tcW w:w="4253" w:type="dxa"/>
            <w:gridSpan w:val="3"/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ED2B8F" w:rsidRPr="00FA6A4D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b/>
                <w:szCs w:val="20"/>
              </w:rPr>
              <w:t>ФАМИЛИЯ, ИМЯ, ОТЧЕСТВО</w:t>
            </w:r>
            <w:r w:rsidRPr="003E380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72ADF">
              <w:rPr>
                <w:rFonts w:ascii="Times New Roman" w:hAnsi="Times New Roman" w:cs="Times New Roman"/>
                <w:sz w:val="16"/>
                <w:szCs w:val="16"/>
              </w:rPr>
              <w:t>(заполняется собственноручно без сокращений)</w:t>
            </w:r>
            <w:r w:rsidRPr="003E3803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2B8F" w:rsidRPr="00FA6A4D" w:rsidRDefault="00ED2B8F" w:rsidP="005A669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c>
          <w:tcPr>
            <w:tcW w:w="9782" w:type="dxa"/>
            <w:gridSpan w:val="8"/>
            <w:shd w:val="clear" w:color="auto" w:fill="auto"/>
            <w:vAlign w:val="bottom"/>
          </w:tcPr>
          <w:p w:rsidR="00ED2B8F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Основание полномочий Представителя Клиента, подписавшего Заявление от имени Клиента:</w:t>
            </w:r>
          </w:p>
        </w:tc>
      </w:tr>
      <w:tr w:rsidR="00ED2B8F" w:rsidRPr="00FA6A4D" w:rsidTr="005A6696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:rsidTr="005A6696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D2B8F" w:rsidRPr="00572ADF" w:rsidRDefault="00ED2B8F" w:rsidP="005A669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7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(наименование документа, его номер, дата и срок действия)</w:t>
            </w:r>
          </w:p>
          <w:p w:rsidR="00ED2B8F" w:rsidRDefault="00ED2B8F" w:rsidP="005A669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D2B8F" w:rsidRPr="00FA6A4D" w:rsidTr="005A669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ED2B8F" w:rsidRPr="00572AD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B8F" w:rsidRPr="00F02C87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C87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572ADF" w:rsidTr="005A6696">
        <w:tc>
          <w:tcPr>
            <w:tcW w:w="3714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4506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5C43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b/>
          <w:sz w:val="20"/>
          <w:szCs w:val="20"/>
        </w:rPr>
        <w:t>о присоединении зарегистрировано</w:t>
      </w:r>
      <w:r w:rsidRPr="00AF5C43">
        <w:rPr>
          <w:rFonts w:ascii="Times New Roman" w:hAnsi="Times New Roman" w:cs="Times New Roman"/>
          <w:b/>
          <w:sz w:val="20"/>
          <w:szCs w:val="20"/>
        </w:rPr>
        <w:t xml:space="preserve"> Банком «____» _______________20 ___ г., </w:t>
      </w: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34506">
        <w:rPr>
          <w:rFonts w:ascii="Times New Roman" w:hAnsi="Times New Roman" w:cs="Times New Roman"/>
          <w:sz w:val="20"/>
          <w:szCs w:val="20"/>
        </w:rPr>
        <w:t>присвоен</w:t>
      </w:r>
      <w:r w:rsidR="00466B01" w:rsidRPr="00F34506">
        <w:rPr>
          <w:rFonts w:ascii="Times New Roman" w:hAnsi="Times New Roman" w:cs="Times New Roman"/>
          <w:sz w:val="20"/>
          <w:szCs w:val="20"/>
        </w:rPr>
        <w:t xml:space="preserve"> </w:t>
      </w:r>
      <w:r w:rsidR="00F62E5D">
        <w:rPr>
          <w:rFonts w:ascii="Times New Roman" w:hAnsi="Times New Roman" w:cs="Times New Roman"/>
          <w:sz w:val="20"/>
          <w:szCs w:val="20"/>
        </w:rPr>
        <w:t xml:space="preserve">номер Договора </w:t>
      </w:r>
      <w:r w:rsidRPr="00F34506">
        <w:rPr>
          <w:rFonts w:ascii="Times New Roman" w:hAnsi="Times New Roman" w:cs="Times New Roman"/>
          <w:sz w:val="20"/>
          <w:szCs w:val="20"/>
        </w:rPr>
        <w:t>на брокерское обслуживание</w:t>
      </w:r>
      <w:r w:rsidR="00466B01" w:rsidRPr="00F34506">
        <w:rPr>
          <w:rFonts w:ascii="Times New Roman" w:hAnsi="Times New Roman" w:cs="Times New Roman"/>
          <w:sz w:val="20"/>
          <w:szCs w:val="20"/>
        </w:rPr>
        <w:t xml:space="preserve">: </w:t>
      </w:r>
      <w:r w:rsidRPr="00F34506">
        <w:rPr>
          <w:rFonts w:ascii="Times New Roman" w:hAnsi="Times New Roman" w:cs="Times New Roman"/>
          <w:sz w:val="20"/>
          <w:szCs w:val="20"/>
        </w:rPr>
        <w:t>№</w:t>
      </w:r>
      <w:r w:rsidRPr="003E3803">
        <w:rPr>
          <w:rFonts w:ascii="Times New Roman" w:hAnsi="Times New Roman" w:cs="Times New Roman"/>
          <w:sz w:val="20"/>
          <w:szCs w:val="20"/>
        </w:rPr>
        <w:t xml:space="preserve"> ________ от 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_____ г.</w:t>
      </w: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2B8F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FA6A4D" w:rsidTr="005A6696">
        <w:tc>
          <w:tcPr>
            <w:tcW w:w="3714" w:type="dxa"/>
            <w:tcBorders>
              <w:bottom w:val="single" w:sz="4" w:space="0" w:color="auto"/>
            </w:tcBorders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B8F" w:rsidRPr="00572ADF" w:rsidTr="005A6696">
        <w:tc>
          <w:tcPr>
            <w:tcW w:w="3714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2B8F" w:rsidRDefault="00ED2B8F" w:rsidP="00ED2B8F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6D5143" w:rsidRDefault="00ED2B8F" w:rsidP="00005CA1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3E3803">
        <w:rPr>
          <w:rFonts w:ascii="Times New Roman" w:hAnsi="Times New Roman"/>
          <w:sz w:val="20"/>
          <w:szCs w:val="20"/>
        </w:rPr>
        <w:t>М.П.</w:t>
      </w:r>
    </w:p>
    <w:p w:rsidR="0037562F" w:rsidRDefault="0037562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851EBF" w:rsidRPr="00F62E5D" w:rsidRDefault="00F62E5D" w:rsidP="00F62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E5D">
        <w:rPr>
          <w:rFonts w:ascii="Times New Roman" w:hAnsi="Times New Roman"/>
          <w:b/>
          <w:sz w:val="24"/>
          <w:szCs w:val="24"/>
        </w:rPr>
        <w:lastRenderedPageBreak/>
        <w:t>Ключевая информация о</w:t>
      </w:r>
      <w:r w:rsidR="00851EBF" w:rsidRPr="00F62E5D">
        <w:rPr>
          <w:rFonts w:ascii="Times New Roman" w:hAnsi="Times New Roman"/>
          <w:b/>
          <w:sz w:val="24"/>
          <w:szCs w:val="24"/>
        </w:rPr>
        <w:t xml:space="preserve"> Договор</w:t>
      </w:r>
      <w:r w:rsidRPr="00F62E5D">
        <w:rPr>
          <w:rFonts w:ascii="Times New Roman" w:hAnsi="Times New Roman"/>
          <w:b/>
          <w:sz w:val="24"/>
          <w:szCs w:val="24"/>
        </w:rPr>
        <w:t>е</w:t>
      </w:r>
      <w:r w:rsidR="00851EBF" w:rsidRPr="00F62E5D">
        <w:rPr>
          <w:rFonts w:ascii="Times New Roman" w:hAnsi="Times New Roman"/>
          <w:b/>
          <w:sz w:val="24"/>
          <w:szCs w:val="24"/>
        </w:rPr>
        <w:t xml:space="preserve"> на брокерское обслуживание </w:t>
      </w:r>
      <w:r w:rsidRPr="00F62E5D">
        <w:rPr>
          <w:rFonts w:ascii="Times New Roman" w:hAnsi="Times New Roman"/>
          <w:b/>
          <w:sz w:val="24"/>
          <w:szCs w:val="24"/>
        </w:rPr>
        <w:t>АКБ «Держава» ПАО</w:t>
      </w:r>
      <w:r w:rsidR="00851EBF" w:rsidRPr="00F62E5D">
        <w:rPr>
          <w:rFonts w:ascii="Times New Roman" w:hAnsi="Times New Roman"/>
          <w:b/>
          <w:sz w:val="24"/>
          <w:szCs w:val="24"/>
        </w:rPr>
        <w:t xml:space="preserve"> </w:t>
      </w:r>
    </w:p>
    <w:p w:rsidR="00851EBF" w:rsidRPr="00B06B6D" w:rsidRDefault="00851EBF" w:rsidP="00F62E5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F62E5D" w:rsidRPr="00293AF7" w:rsidRDefault="00F62E5D" w:rsidP="00F62E5D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293AF7">
        <w:rPr>
          <w:rFonts w:ascii="Times New Roman" w:hAnsi="Times New Roman"/>
        </w:rPr>
        <w:t xml:space="preserve">Предоставляемый перечень информации о договоре о брокерском обслуживании является минимальным, не заменяет собой все условия договора о брокерском обслуживании, а также необходимость ознакомиться с полным текстом </w:t>
      </w:r>
      <w:r>
        <w:rPr>
          <w:rFonts w:ascii="Times New Roman" w:hAnsi="Times New Roman"/>
        </w:rPr>
        <w:t>Д</w:t>
      </w:r>
      <w:r w:rsidRPr="00293AF7">
        <w:rPr>
          <w:rFonts w:ascii="Times New Roman" w:hAnsi="Times New Roman"/>
        </w:rPr>
        <w:t xml:space="preserve">оговора </w:t>
      </w:r>
      <w:r>
        <w:rPr>
          <w:rFonts w:ascii="Times New Roman" w:hAnsi="Times New Roman"/>
        </w:rPr>
        <w:t>на</w:t>
      </w:r>
      <w:r w:rsidRPr="00293AF7">
        <w:rPr>
          <w:rFonts w:ascii="Times New Roman" w:hAnsi="Times New Roman"/>
        </w:rPr>
        <w:t xml:space="preserve"> брокерско</w:t>
      </w:r>
      <w:r>
        <w:rPr>
          <w:rFonts w:ascii="Times New Roman" w:hAnsi="Times New Roman"/>
        </w:rPr>
        <w:t>е обслуживание АКБ «Держава» ПАО (далее по тексту-Договор)</w:t>
      </w:r>
      <w:r w:rsidRPr="00293AF7">
        <w:rPr>
          <w:rFonts w:ascii="Times New Roman" w:hAnsi="Times New Roman"/>
        </w:rPr>
        <w:t xml:space="preserve">. </w:t>
      </w:r>
    </w:p>
    <w:p w:rsidR="00F62E5D" w:rsidRPr="00293AF7" w:rsidRDefault="00F62E5D" w:rsidP="00F62E5D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</w:t>
      </w:r>
      <w:r w:rsidRPr="00293AF7">
        <w:rPr>
          <w:rFonts w:ascii="Times New Roman" w:hAnsi="Times New Roman"/>
        </w:rPr>
        <w:t xml:space="preserve"> не является вкладом. Средства, размещенные на брокерском счете, не застрахованы (не гарантированы) государством. Вы можете потерять все, что вложили, а в некоторых случаях – остаться должны. В случае потерь компенсаций не предусмотрено. Доход не гарантирован. </w:t>
      </w:r>
    </w:p>
    <w:p w:rsidR="00F62E5D" w:rsidRDefault="00F62E5D" w:rsidP="00F62E5D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293AF7">
        <w:rPr>
          <w:rFonts w:ascii="Times New Roman" w:hAnsi="Times New Roman"/>
        </w:rPr>
        <w:t xml:space="preserve">Ознакомьтесь с декларациями о рисках, связанных с совершением операций на рынке ценных бумаг, которые брокер должен предоставить Вам до заключения </w:t>
      </w:r>
      <w:r>
        <w:rPr>
          <w:rFonts w:ascii="Times New Roman" w:hAnsi="Times New Roman"/>
        </w:rPr>
        <w:t>Договора</w:t>
      </w:r>
      <w:r w:rsidRPr="00293AF7">
        <w:rPr>
          <w:rFonts w:ascii="Times New Roman" w:hAnsi="Times New Roman"/>
        </w:rPr>
        <w:t xml:space="preserve">. </w:t>
      </w:r>
    </w:p>
    <w:p w:rsidR="00F62E5D" w:rsidRPr="00293AF7" w:rsidRDefault="00F62E5D" w:rsidP="00F62E5D">
      <w:pPr>
        <w:spacing w:line="240" w:lineRule="auto"/>
        <w:ind w:firstLine="567"/>
        <w:contextualSpacing/>
        <w:rPr>
          <w:rFonts w:ascii="Times New Roman" w:hAnsi="Times New Roman"/>
        </w:rPr>
      </w:pPr>
    </w:p>
    <w:tbl>
      <w:tblPr>
        <w:tblStyle w:val="a4"/>
        <w:tblW w:w="10460" w:type="dxa"/>
        <w:tblInd w:w="108" w:type="dxa"/>
        <w:tblLook w:val="04A0" w:firstRow="1" w:lastRow="0" w:firstColumn="1" w:lastColumn="0" w:noHBand="0" w:noVBand="1"/>
      </w:tblPr>
      <w:tblGrid>
        <w:gridCol w:w="567"/>
        <w:gridCol w:w="2271"/>
        <w:gridCol w:w="7622"/>
      </w:tblGrid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Предмет договора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Предметом Договора</w:t>
            </w:r>
            <w:r w:rsidRPr="00F62E5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62E5D">
              <w:rPr>
                <w:rFonts w:ascii="Times New Roman" w:hAnsi="Times New Roman"/>
                <w:sz w:val="22"/>
                <w:szCs w:val="22"/>
              </w:rPr>
              <w:t>является оказание услуг по исполнению поручений клиента на совершение гражданско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правовых сделок с ценными бумагами, иностранной валютой и (или) на заключение договоров, являющихся производными финансовыми инструментами (ПФИ). Ознакомиться с условиями Договора Вы можете на официальном сайте Банка (далее-Сайт): </w:t>
            </w:r>
            <w:hyperlink r:id="rId7" w:history="1">
              <w:r w:rsidRPr="00F62E5D">
                <w:rPr>
                  <w:rStyle w:val="af4"/>
                  <w:rFonts w:ascii="Times New Roman" w:hAnsi="Times New Roman"/>
                  <w:sz w:val="22"/>
                  <w:szCs w:val="22"/>
                </w:rPr>
                <w:t>https://derzhava.ru/securities/broker/</w:t>
              </w:r>
            </w:hyperlink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Изменение договора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Брокер может в одностороннем порядке вносить изменения в Договор, а также, в тарифы на брокерское обслуживание. Такие изменения публикуются на Сайте: </w:t>
            </w:r>
            <w:hyperlink r:id="rId8" w:history="1">
              <w:r w:rsidRPr="00F62E5D">
                <w:rPr>
                  <w:rStyle w:val="af4"/>
                  <w:rFonts w:ascii="Times New Roman" w:hAnsi="Times New Roman"/>
                  <w:sz w:val="22"/>
                  <w:szCs w:val="22"/>
                </w:rPr>
                <w:t>https://derzhava.ru/securities/broker/</w:t>
              </w:r>
            </w:hyperlink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Способ заключения договора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Договор заключается путем полного и безоговорочного присоединения к Договору в целом (акцепта договора) в соответствии со ст. 428 Гражданского кодекса Российской Федерации.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Тарифы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За оказание услуг взимается плата. Тарифы на брокерское обслуживание публикуются на Сайте: </w:t>
            </w:r>
            <w:r w:rsidRPr="00F62E5D">
              <w:rPr>
                <w:rStyle w:val="af4"/>
                <w:rFonts w:ascii="Times New Roman" w:hAnsi="Times New Roman"/>
                <w:sz w:val="22"/>
                <w:szCs w:val="22"/>
              </w:rPr>
              <w:t>https://derzhava.ru/securities/broker/</w:t>
            </w:r>
            <w:r w:rsidRPr="00F62E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Финансовые инструменты</w:t>
            </w:r>
          </w:p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22" w:type="dxa"/>
          </w:tcPr>
          <w:p w:rsidR="00F62E5D" w:rsidRPr="00F62E5D" w:rsidRDefault="00F62E5D" w:rsidP="00F62E5D">
            <w:pPr>
              <w:pStyle w:val="ac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В соответствии с Договором Вам доступны операции со следующими финансовыми инструментами: ценные бумаги (акции, облигации, инвестиционные паи биржевых инвестиционных фондов, паи паевых инвестиционных фондов, депозитарные расписки на акции и др.), иностранная валюта, иные инструменты в соответствии с законодательством Российской Федерации.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В отношении следующих видов сделок (договоров) поручения неквалифицированных инвесторов – физических лиц исполняются брокером только при положительном результате тестирования: </w:t>
            </w:r>
          </w:p>
          <w:p w:rsidR="00F62E5D" w:rsidRPr="00F62E5D" w:rsidRDefault="00F62E5D" w:rsidP="00F62E5D">
            <w:pPr>
              <w:pStyle w:val="af1"/>
              <w:numPr>
                <w:ilvl w:val="0"/>
                <w:numId w:val="5"/>
              </w:numPr>
              <w:spacing w:after="0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в отношении гражданско-правовых сделок с ценными бумагами и договоров, являющихся ПФИ, совершение (заключение) которых по поручению клиента – физического лица, не признанного квалифицированным инвестором, требует в соответствии с законодательством Российской Федерации проведения соответствующего тестирования. С подробной информацией относительно видов сделок, требующих проведения тестирования Вы можете ознакомиться в разделе 4 Статьи 5 Приложения №1 к Договору, опубликованному на Сайте:</w:t>
            </w:r>
            <w:r w:rsidRPr="00F62E5D">
              <w:rPr>
                <w:rStyle w:val="af4"/>
                <w:rFonts w:ascii="Times New Roman" w:hAnsi="Times New Roman"/>
                <w:sz w:val="22"/>
                <w:szCs w:val="22"/>
              </w:rPr>
              <w:t xml:space="preserve"> </w:t>
            </w:r>
            <w:hyperlink r:id="rId9" w:history="1">
              <w:r w:rsidRPr="00F62E5D">
                <w:rPr>
                  <w:rStyle w:val="af4"/>
                  <w:rFonts w:ascii="Times New Roman" w:hAnsi="Times New Roman"/>
                  <w:sz w:val="22"/>
                  <w:szCs w:val="22"/>
                </w:rPr>
                <w:t>https://derzhava.ru/securities/broker/</w:t>
              </w:r>
            </w:hyperlink>
          </w:p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62E5D">
              <w:rPr>
                <w:rFonts w:ascii="Times New Roman" w:hAnsi="Times New Roman"/>
                <w:b/>
                <w:sz w:val="22"/>
                <w:szCs w:val="22"/>
              </w:rPr>
              <w:t xml:space="preserve">Обращаем Ваше внимание, что такие сделки являются более рискованными, чем сделки с инструментами, доступными для неквалифицированных инвесторов, по которым не требуется прохождение тестирования. 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Сделки (договоры), совершение которых требует наличие </w:t>
            </w:r>
            <w:r w:rsidRPr="00F62E5D">
              <w:rPr>
                <w:rFonts w:ascii="Times New Roman" w:hAnsi="Times New Roman"/>
                <w:sz w:val="22"/>
                <w:szCs w:val="22"/>
              </w:rPr>
              <w:lastRenderedPageBreak/>
              <w:t>статуса квалифицированного инвестора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отношении следующих видов сделок (договоров) поручения исполняются брокером только при наличии у инвестора статуса квалифицированного инвестора: сделок с ценными бумагами и </w:t>
            </w:r>
            <w:r w:rsidRPr="00F62E5D">
              <w:rPr>
                <w:rFonts w:ascii="Times New Roman" w:hAnsi="Times New Roman"/>
                <w:sz w:val="22"/>
                <w:szCs w:val="22"/>
              </w:rPr>
              <w:lastRenderedPageBreak/>
              <w:t>финансовыми инструментами, ограниченными в обороте (предназначенными только для квалифицированных инвесторов)</w:t>
            </w:r>
            <w:r w:rsidRPr="00F62E5D">
              <w:rPr>
                <w:rStyle w:val="ae"/>
                <w:rFonts w:ascii="Times New Roman" w:hAnsi="Times New Roman"/>
                <w:sz w:val="22"/>
                <w:szCs w:val="22"/>
              </w:rPr>
              <w:footnoteReference w:id="1"/>
            </w:r>
            <w:r w:rsidRPr="00F62E5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62E5D">
              <w:rPr>
                <w:rFonts w:ascii="Times New Roman" w:hAnsi="Times New Roman"/>
                <w:b/>
                <w:sz w:val="22"/>
                <w:szCs w:val="22"/>
              </w:rPr>
              <w:t>Обращаем Ваше внимание, что сделки с инструментами, предназначенными для квалифицированных инвесторов, являются более рискованными, чем сделки с инструментами, предназначенными для неквалифицированных инвесторов.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Возможность совершения маржинальных сделок и сделок, приводящих к непокрытой позиции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Банк не принимает от клиента – физического лица поручения, исполнение которых приведет к образованию отрицательной позиции по счету клиента, и не предоставляет клиенту в заем средства за дополнительную плату.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Возможность использования брокером принадлежащих Вам ценных бумаг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Банк уведомляет инвесторов об отсутствии у Банка права на использование в своих интересах ценных бумаг клиентов.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Способы подачи, сроки приема и исполнения поручений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autoSpaceDE w:val="0"/>
              <w:autoSpaceDN w:val="0"/>
              <w:adjustRightInd w:val="0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Договором установлены следующие способы подачи, сроки приема и исполнения поручений: Поручения могут быть переданы в Банк самим клиентом или его уполномоченным лицом следующими способами:</w:t>
            </w:r>
          </w:p>
          <w:p w:rsidR="00F62E5D" w:rsidRPr="00F62E5D" w:rsidRDefault="00F62E5D" w:rsidP="00F62E5D">
            <w:pPr>
              <w:pStyle w:val="af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right="146" w:firstLine="471"/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F62E5D">
              <w:rPr>
                <w:rFonts w:ascii="Times New Roman" w:eastAsiaTheme="minorHAnsi" w:hAnsi="Times New Roman"/>
                <w:sz w:val="22"/>
                <w:szCs w:val="22"/>
              </w:rPr>
              <w:t xml:space="preserve"> посредством предоставления в бумажной форме в офисе Банка;</w:t>
            </w:r>
          </w:p>
          <w:p w:rsidR="00F62E5D" w:rsidRPr="00F62E5D" w:rsidRDefault="00F62E5D" w:rsidP="00F62E5D">
            <w:pPr>
              <w:pStyle w:val="af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right="146" w:firstLine="471"/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F62E5D">
              <w:rPr>
                <w:rFonts w:ascii="Times New Roman" w:eastAsiaTheme="minorHAnsi" w:hAnsi="Times New Roman"/>
                <w:sz w:val="22"/>
                <w:szCs w:val="22"/>
              </w:rPr>
              <w:t>посредством электронной почты (с адреса электронной почты, указанного в Заявлении на обслуживание);</w:t>
            </w:r>
          </w:p>
          <w:p w:rsidR="00F62E5D" w:rsidRPr="00F62E5D" w:rsidRDefault="00F62E5D" w:rsidP="00F62E5D">
            <w:pPr>
              <w:pStyle w:val="af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right="146" w:firstLine="471"/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F62E5D">
              <w:rPr>
                <w:rFonts w:ascii="Times New Roman" w:eastAsiaTheme="minorHAnsi" w:hAnsi="Times New Roman"/>
                <w:sz w:val="22"/>
                <w:szCs w:val="22"/>
              </w:rPr>
              <w:t>посредством телефонной связи;</w:t>
            </w:r>
          </w:p>
          <w:p w:rsidR="00F62E5D" w:rsidRPr="00F62E5D" w:rsidRDefault="00F62E5D" w:rsidP="00F62E5D">
            <w:pPr>
              <w:pStyle w:val="af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right="146" w:firstLine="471"/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F62E5D">
              <w:rPr>
                <w:rFonts w:ascii="Times New Roman" w:eastAsiaTheme="minorHAnsi" w:hAnsi="Times New Roman"/>
                <w:sz w:val="22"/>
                <w:szCs w:val="22"/>
              </w:rPr>
              <w:t>посредством Информационно-торговой системы QUIK (далее – ИТС QUIK).</w:t>
            </w:r>
          </w:p>
          <w:p w:rsidR="00F62E5D" w:rsidRPr="00F62E5D" w:rsidRDefault="00F62E5D" w:rsidP="00F62E5D">
            <w:pPr>
              <w:autoSpaceDE w:val="0"/>
              <w:autoSpaceDN w:val="0"/>
              <w:adjustRightInd w:val="0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Поручения, переданные посредством электронной почты или телефонной связи, подлежат предоставлению в Банк в бумажной форме не позднее 28 (Двадцати восьми) календарных дней с даты принятия Банком такого Поручения. Поручения принимаются в течение рабочего дня Банка с 9:30 до 18:00 по московскому времени, и исполняются, если не указано иное, сразу по получении при наличии условий на рынке, удовлетворяющих условиям Поручения.</w:t>
            </w:r>
          </w:p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Способ и сроки получения клиентом отчета брокера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autoSpaceDE w:val="0"/>
              <w:autoSpaceDN w:val="0"/>
              <w:adjustRightInd w:val="0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Договором установлены следующие сроки и способ получения клиентом отчета брокера: отчеты Банка направляются по электронной почте, указанной клиентом в Заявлении на обслуживание. По запросу Клиенту могут быть предоставлены оригиналы отчетов и выписок на бумажном носителе за подписью и печатью Банка.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Ограничение ответственности брокера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autoSpaceDE w:val="0"/>
              <w:autoSpaceDN w:val="0"/>
              <w:adjustRightInd w:val="0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В соответствии с Договором, ответственность брокера ограничена в следующих случаях:</w:t>
            </w:r>
          </w:p>
          <w:p w:rsidR="00F62E5D" w:rsidRPr="00F62E5D" w:rsidRDefault="00F62E5D" w:rsidP="00F62E5D">
            <w:pPr>
              <w:pStyle w:val="af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 Банк освобождается от возмещения убытков, возникших вследствие неисполнения или ненадлежащего исполнения обязательств по Договору, если такое неисполнение/ненадлежащее исполнение стало следствием наступления обстоятельств непреодолимой силы (форс-мажор), возникших после заключения Договора и независящих от воли Банка. К обстоятельствам непреодолимой силы относятся: военные действия, стихийные бедствия, пожары, забастовки, массовые беспорядки, изменения </w:t>
            </w:r>
            <w:r w:rsidRPr="00F62E5D">
              <w:rPr>
                <w:rFonts w:ascii="Times New Roman" w:hAnsi="Times New Roman"/>
                <w:sz w:val="22"/>
                <w:szCs w:val="22"/>
              </w:rPr>
              <w:lastRenderedPageBreak/>
              <w:t>гражданского или налогового законодательства, изменение или введение новых нормативных актов, существенно ухудшающих условия выполнения Договора или делающих невозможным выполнение Договора полностью или частично.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Осуществление брокером функций налогового агента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Банк осуществляет функцию налогового агента в следующих случаях: Банк выполняет функции налогового агента по налогу на доходы физических лиц (НДФЛ) в отношении доходов Клиентов – физических лиц, полученных по операциям с ценными бумагами, совершенным в рамках Договора. Исчисление, удержание и уплата суммы НДФЛ осуществляются Банком по окончании налогового периода, а также до истечения налогового периода при фактической выплате доходов и/или перечислении денежных средств с Брокерского счета. 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О способах и адресах направления обращений (жалоб)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Вы можете направить обращение (жалобу):</w:t>
            </w:r>
          </w:p>
          <w:p w:rsidR="00F62E5D" w:rsidRPr="00F62E5D" w:rsidRDefault="00F62E5D" w:rsidP="00F62E5D">
            <w:pPr>
              <w:pStyle w:val="af1"/>
              <w:numPr>
                <w:ilvl w:val="0"/>
                <w:numId w:val="4"/>
              </w:numPr>
              <w:spacing w:after="0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По местонахождению Банка: 119435, г. Москва, Большой Саввинский переулок, д. 2, строение 9 (лично или с использованием почтовой связи); </w:t>
            </w:r>
          </w:p>
          <w:p w:rsidR="00F62E5D" w:rsidRPr="00F62E5D" w:rsidRDefault="00F62E5D" w:rsidP="00F62E5D">
            <w:pPr>
              <w:pStyle w:val="af1"/>
              <w:numPr>
                <w:ilvl w:val="0"/>
                <w:numId w:val="4"/>
              </w:numPr>
              <w:spacing w:after="0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по адресу электронной почты: </w:t>
            </w:r>
            <w:r w:rsidRPr="00F62E5D">
              <w:rPr>
                <w:rFonts w:ascii="Times New Roman" w:hAnsi="Times New Roman"/>
                <w:sz w:val="22"/>
                <w:szCs w:val="22"/>
                <w:u w:val="single"/>
              </w:rPr>
              <w:t>office@derzhava.ru</w:t>
            </w:r>
          </w:p>
          <w:p w:rsidR="00F62E5D" w:rsidRPr="00F62E5D" w:rsidRDefault="00F62E5D" w:rsidP="00F62E5D">
            <w:pPr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Также Вы можете направить жалобу (обращение) о возможном нарушении брокером требований законодательства Российской Федерации о рынке ценных бумаг в Банк России, и о возможном нарушении базовых и внутренних стандартов саморегулируемой организации в сфере финансового рынка, объединяющей брокеров – в НАУФОР.  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15 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Порядок урегулирования споров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spacing w:after="148"/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В случае возникновения споров, применяется следующий порядок их разрешения: все споры и разногласия, возникающие между сторонами в процессе исполнения своих прав и обязанностей по договору, стороны стараются разрешить путем переговоров. </w:t>
            </w:r>
          </w:p>
          <w:p w:rsidR="00F62E5D" w:rsidRPr="00F62E5D" w:rsidRDefault="00F62E5D" w:rsidP="00F62E5D">
            <w:pPr>
              <w:spacing w:after="148"/>
              <w:ind w:left="0" w:right="146" w:firstLine="471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В случае, если возникший спор между сторонами не удается разрешить путем переговоров, такой спор подлежит разрешению в судебном порядке в соответствии с законодательством РФ для споров между Банком и Клиентом – физическим лицом. </w:t>
            </w:r>
          </w:p>
        </w:tc>
      </w:tr>
      <w:tr w:rsidR="00F62E5D" w:rsidRPr="00F62E5D" w:rsidTr="00F62E5D">
        <w:tc>
          <w:tcPr>
            <w:tcW w:w="567" w:type="dxa"/>
          </w:tcPr>
          <w:p w:rsidR="00F62E5D" w:rsidRPr="00F62E5D" w:rsidRDefault="00F62E5D" w:rsidP="00F62E5D">
            <w:pPr>
              <w:ind w:left="0" w:firstLine="17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271" w:type="dxa"/>
          </w:tcPr>
          <w:p w:rsidR="00F62E5D" w:rsidRPr="00F62E5D" w:rsidRDefault="00F62E5D" w:rsidP="00F62E5D">
            <w:pPr>
              <w:ind w:left="34" w:right="22"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Срок действия, порядок и сроки расторжения договора о брокерском обслуживании</w:t>
            </w:r>
          </w:p>
        </w:tc>
        <w:tc>
          <w:tcPr>
            <w:tcW w:w="7622" w:type="dxa"/>
          </w:tcPr>
          <w:p w:rsidR="00F62E5D" w:rsidRPr="00F62E5D" w:rsidRDefault="00F62E5D" w:rsidP="00F62E5D">
            <w:pPr>
              <w:pStyle w:val="af1"/>
              <w:ind w:left="0" w:right="146" w:firstLine="4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 xml:space="preserve">Договор может быть расторгнут как по соглашению сторон, так и в одностороннем порядке путем направления стороной, пожелавшей расторгнуть договор, другой стороне письменного уведомления. Договор будет расторгнут после урегулирования всех незавершенных расчетов по сделкам и операциям, полной оплаты услуг Банка по Договору и перевода средств Клиента с брокерского счета на его банковский счет. </w:t>
            </w:r>
          </w:p>
          <w:p w:rsidR="00F62E5D" w:rsidRPr="00F62E5D" w:rsidRDefault="00F62E5D" w:rsidP="00F62E5D">
            <w:pPr>
              <w:pStyle w:val="af1"/>
              <w:ind w:left="0" w:right="146" w:firstLine="471"/>
              <w:jc w:val="both"/>
              <w:rPr>
                <w:rFonts w:ascii="Times New Roman" w:hAnsi="Times New Roman"/>
                <w:color w:val="0000FF" w:themeColor="hyperlink"/>
                <w:sz w:val="22"/>
                <w:szCs w:val="22"/>
                <w:u w:val="single"/>
              </w:rPr>
            </w:pPr>
            <w:r w:rsidRPr="00F62E5D">
              <w:rPr>
                <w:rFonts w:ascii="Times New Roman" w:hAnsi="Times New Roman"/>
                <w:sz w:val="22"/>
                <w:szCs w:val="22"/>
              </w:rPr>
              <w:t>Срок действия договора установлен Разделом 12 Договора. Подробный порядок расторжения установлен Разделом 10 Договора опубликованного на Сайте Банка:</w:t>
            </w:r>
            <w:r w:rsidRPr="00F62E5D">
              <w:rPr>
                <w:rStyle w:val="af4"/>
                <w:rFonts w:ascii="Times New Roman" w:hAnsi="Times New Roman"/>
                <w:sz w:val="22"/>
                <w:szCs w:val="22"/>
              </w:rPr>
              <w:t xml:space="preserve"> </w:t>
            </w:r>
            <w:hyperlink r:id="rId10" w:history="1">
              <w:r w:rsidRPr="00F62E5D">
                <w:rPr>
                  <w:rStyle w:val="af4"/>
                  <w:rFonts w:ascii="Times New Roman" w:hAnsi="Times New Roman"/>
                  <w:sz w:val="22"/>
                  <w:szCs w:val="22"/>
                </w:rPr>
                <w:t>https://derzhava.ru/securities/broker/</w:t>
              </w:r>
            </w:hyperlink>
            <w:r w:rsidRPr="00F62E5D">
              <w:rPr>
                <w:rStyle w:val="af4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851EBF" w:rsidRPr="00B06B6D" w:rsidRDefault="00851EBF" w:rsidP="00F62E5D">
      <w:pPr>
        <w:pStyle w:val="af1"/>
        <w:tabs>
          <w:tab w:val="left" w:pos="426"/>
        </w:tabs>
        <w:ind w:left="0" w:right="2"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851EBF" w:rsidRPr="00B06B6D" w:rsidTr="00F45AE9">
        <w:tc>
          <w:tcPr>
            <w:tcW w:w="9782" w:type="dxa"/>
            <w:gridSpan w:val="8"/>
            <w:shd w:val="clear" w:color="auto" w:fill="D5D7D7"/>
            <w:vAlign w:val="center"/>
          </w:tcPr>
          <w:p w:rsidR="00851EBF" w:rsidRPr="00B06B6D" w:rsidRDefault="00851EBF" w:rsidP="00F62E5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 Клиента/Представителя Клиента:</w:t>
            </w:r>
          </w:p>
        </w:tc>
      </w:tr>
      <w:tr w:rsidR="00851EBF" w:rsidRPr="00B06B6D" w:rsidTr="00F45AE9">
        <w:tc>
          <w:tcPr>
            <w:tcW w:w="4253" w:type="dxa"/>
            <w:gridSpan w:val="3"/>
            <w:shd w:val="clear" w:color="auto" w:fill="auto"/>
            <w:vAlign w:val="bottom"/>
          </w:tcPr>
          <w:p w:rsidR="00851EBF" w:rsidRPr="00B06B6D" w:rsidRDefault="00851EBF" w:rsidP="00F62E5D">
            <w:pPr>
              <w:spacing w:before="120" w:after="0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Дата подписания: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before="120" w:after="0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c>
          <w:tcPr>
            <w:tcW w:w="4253" w:type="dxa"/>
            <w:gridSpan w:val="3"/>
            <w:shd w:val="clear" w:color="auto" w:fill="auto"/>
            <w:vAlign w:val="bottom"/>
          </w:tcPr>
          <w:p w:rsidR="00851EBF" w:rsidRPr="00B06B6D" w:rsidRDefault="00851EBF" w:rsidP="00F62E5D">
            <w:pPr>
              <w:keepNext/>
              <w:spacing w:before="120" w:after="0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before="120" w:after="0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851EBF" w:rsidRPr="00B06B6D" w:rsidRDefault="00851EBF" w:rsidP="00F62E5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 xml:space="preserve"> (заполняется собственноручно без сокращений):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after="0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c>
          <w:tcPr>
            <w:tcW w:w="9782" w:type="dxa"/>
            <w:gridSpan w:val="8"/>
            <w:shd w:val="clear" w:color="auto" w:fill="auto"/>
            <w:vAlign w:val="bottom"/>
          </w:tcPr>
          <w:p w:rsidR="00851EBF" w:rsidRPr="00B06B6D" w:rsidRDefault="00851EBF" w:rsidP="00F62E5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Основание полномочий Представителя Клиента, подписавшего Информационный документ от имени Клиента:</w:t>
            </w:r>
          </w:p>
        </w:tc>
      </w:tr>
      <w:tr w:rsidR="00F62E5D" w:rsidRPr="00B06B6D" w:rsidTr="00F45AE9">
        <w:tc>
          <w:tcPr>
            <w:tcW w:w="9782" w:type="dxa"/>
            <w:gridSpan w:val="8"/>
            <w:shd w:val="clear" w:color="auto" w:fill="auto"/>
            <w:vAlign w:val="bottom"/>
          </w:tcPr>
          <w:p w:rsidR="00F62E5D" w:rsidRPr="00B06B6D" w:rsidRDefault="00F62E5D" w:rsidP="00F62E5D">
            <w:pPr>
              <w:spacing w:before="120" w:after="0" w:line="240" w:lineRule="auto"/>
              <w:ind w:right="-85" w:firstLine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6B6D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after="0" w:line="240" w:lineRule="auto"/>
              <w:ind w:right="-85"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after="0" w:line="240" w:lineRule="auto"/>
              <w:ind w:right="-85"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EBF" w:rsidRPr="00B06B6D" w:rsidTr="00F45AE9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1EBF" w:rsidRPr="00B06B6D" w:rsidRDefault="00851EBF" w:rsidP="00F62E5D">
            <w:pPr>
              <w:spacing w:after="0"/>
              <w:ind w:right="-85" w:firstLine="56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6B6D">
              <w:rPr>
                <w:rFonts w:ascii="Times New Roman" w:eastAsia="Times New Roman" w:hAnsi="Times New Roman"/>
                <w:sz w:val="16"/>
                <w:szCs w:val="16"/>
              </w:rPr>
              <w:t>(наименование документа, его номер, дата и срок действия)</w:t>
            </w:r>
          </w:p>
        </w:tc>
      </w:tr>
    </w:tbl>
    <w:p w:rsidR="00851EBF" w:rsidRPr="00B06B6D" w:rsidRDefault="00851EBF" w:rsidP="00F6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sectPr w:rsidR="00851EBF" w:rsidRPr="00B06B6D" w:rsidSect="002B7C4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0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8F" w:rsidRDefault="00ED2B8F" w:rsidP="00ED2B8F">
      <w:pPr>
        <w:spacing w:after="0" w:line="240" w:lineRule="auto"/>
      </w:pPr>
      <w:r>
        <w:separator/>
      </w:r>
    </w:p>
  </w:endnote>
  <w:endnote w:type="continuationSeparator" w:id="0">
    <w:p w:rsidR="00ED2B8F" w:rsidRDefault="00ED2B8F" w:rsidP="00ED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89" w:rsidRDefault="006448EE" w:rsidP="00CB5189">
    <w:pPr>
      <w:pStyle w:val="a7"/>
      <w:rPr>
        <w:rFonts w:ascii="Times New Roman" w:hAnsi="Times New Roman"/>
        <w:sz w:val="20"/>
        <w:szCs w:val="20"/>
      </w:rPr>
    </w:pPr>
  </w:p>
  <w:p w:rsidR="004B2711" w:rsidRPr="00F02C87" w:rsidRDefault="004B2711" w:rsidP="004B2711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6892F7C8" wp14:editId="6938A4DF">
          <wp:extent cx="133350" cy="133350"/>
          <wp:effectExtent l="19050" t="0" r="0" b="0"/>
          <wp:docPr id="3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6448EE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3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6448EE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5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  <w:p w:rsidR="00CB5189" w:rsidRDefault="006448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C87" w:rsidRPr="00F02C87" w:rsidRDefault="00ED2B8F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33D46782" wp14:editId="7693C263">
          <wp:extent cx="133350" cy="133350"/>
          <wp:effectExtent l="19050" t="0" r="0" b="0"/>
          <wp:docPr id="1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6448EE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6448EE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5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8F" w:rsidRDefault="00ED2B8F" w:rsidP="00ED2B8F">
      <w:pPr>
        <w:spacing w:after="0" w:line="240" w:lineRule="auto"/>
      </w:pPr>
      <w:r>
        <w:separator/>
      </w:r>
    </w:p>
  </w:footnote>
  <w:footnote w:type="continuationSeparator" w:id="0">
    <w:p w:rsidR="00ED2B8F" w:rsidRDefault="00ED2B8F" w:rsidP="00ED2B8F">
      <w:pPr>
        <w:spacing w:after="0" w:line="240" w:lineRule="auto"/>
      </w:pPr>
      <w:r>
        <w:continuationSeparator/>
      </w:r>
    </w:p>
  </w:footnote>
  <w:footnote w:id="1">
    <w:p w:rsidR="00F62E5D" w:rsidRPr="007335D1" w:rsidRDefault="00F62E5D" w:rsidP="00F62E5D">
      <w:pPr>
        <w:pStyle w:val="ac"/>
        <w:rPr>
          <w:sz w:val="16"/>
          <w:szCs w:val="16"/>
        </w:rPr>
      </w:pPr>
      <w:r w:rsidRPr="007335D1">
        <w:rPr>
          <w:rStyle w:val="ae"/>
          <w:sz w:val="16"/>
          <w:szCs w:val="16"/>
        </w:rPr>
        <w:footnoteRef/>
      </w:r>
      <w:r w:rsidRPr="007335D1">
        <w:rPr>
          <w:sz w:val="16"/>
          <w:szCs w:val="16"/>
        </w:rPr>
        <w:t xml:space="preserve"> Ценные бумаги, предназначенные для квалифицированных инвесторов определены в Указании Банка России от 09 января 2023 № 6347-У «О ценных бумагах и производных финансовых инструментах, предназначенных для квалифицированных инвесторов».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61480C" w:rsidRPr="006220C7" w:rsidTr="007077C1">
      <w:tc>
        <w:tcPr>
          <w:tcW w:w="5852" w:type="dxa"/>
        </w:tcPr>
        <w:p w:rsidR="0061480C" w:rsidRDefault="00ED2B8F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0A64505B" wp14:editId="456B6A48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80C" w:rsidRPr="007077C1" w:rsidRDefault="006448EE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61480C" w:rsidRPr="006220C7" w:rsidRDefault="00ED2B8F" w:rsidP="006448EE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6220C7">
            <w:rPr>
              <w:rFonts w:ascii="Times New Roman" w:hAnsi="Times New Roman"/>
              <w:szCs w:val="18"/>
            </w:rPr>
            <w:t xml:space="preserve">Приложение № </w:t>
          </w:r>
          <w:r w:rsidR="006448EE" w:rsidRPr="006448EE">
            <w:rPr>
              <w:rFonts w:ascii="Times New Roman" w:hAnsi="Times New Roman"/>
              <w:szCs w:val="18"/>
            </w:rPr>
            <w:t>1</w:t>
          </w:r>
          <w:r w:rsidRPr="006448EE">
            <w:rPr>
              <w:rFonts w:ascii="Times New Roman" w:hAnsi="Times New Roman"/>
              <w:szCs w:val="18"/>
              <w:lang w:val="en-US"/>
            </w:rPr>
            <w:t>b</w:t>
          </w:r>
          <w:r w:rsidRPr="006220C7">
            <w:rPr>
              <w:rFonts w:ascii="Times New Roman" w:hAnsi="Times New Roman"/>
              <w:szCs w:val="18"/>
            </w:rPr>
            <w:br/>
            <w:t>к Договору на брокерское обслуживание</w:t>
          </w:r>
          <w:r w:rsidRPr="006220C7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:rsidR="0061480C" w:rsidRPr="007077C1" w:rsidRDefault="006448EE" w:rsidP="007077C1">
    <w:pPr>
      <w:pStyle w:val="a5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987623" w:rsidRPr="008B3C3D" w:rsidTr="00AF28FE">
      <w:tc>
        <w:tcPr>
          <w:tcW w:w="5852" w:type="dxa"/>
        </w:tcPr>
        <w:p w:rsidR="00987623" w:rsidRDefault="00ED2B8F" w:rsidP="00AF28FE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D33EE6A" wp14:editId="3C4E33FF">
                <wp:extent cx="1451306" cy="321869"/>
                <wp:effectExtent l="19050" t="0" r="0" b="0"/>
                <wp:docPr id="2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87623" w:rsidRPr="007077C1" w:rsidRDefault="006448EE" w:rsidP="00AF28FE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987623" w:rsidRPr="008B3C3D" w:rsidRDefault="00ED2B8F" w:rsidP="009B5692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9B5692">
            <w:rPr>
              <w:rFonts w:ascii="Times New Roman" w:hAnsi="Times New Roman"/>
              <w:szCs w:val="18"/>
            </w:rPr>
            <w:t>1</w:t>
          </w:r>
          <w:r w:rsidR="009B5692">
            <w:rPr>
              <w:rFonts w:ascii="Times New Roman" w:hAnsi="Times New Roman"/>
              <w:szCs w:val="18"/>
              <w:lang w:val="en-US"/>
            </w:rPr>
            <w:t>b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9B5692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:rsidR="00987623" w:rsidRDefault="006448EE" w:rsidP="009876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0C1D"/>
    <w:multiLevelType w:val="hybridMultilevel"/>
    <w:tmpl w:val="806E66CE"/>
    <w:lvl w:ilvl="0" w:tplc="789A37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3D7"/>
    <w:multiLevelType w:val="hybridMultilevel"/>
    <w:tmpl w:val="883E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31C1"/>
    <w:multiLevelType w:val="hybridMultilevel"/>
    <w:tmpl w:val="15EC61F4"/>
    <w:lvl w:ilvl="0" w:tplc="BA5E3502">
      <w:numFmt w:val="bullet"/>
      <w:lvlText w:val=""/>
      <w:lvlJc w:val="left"/>
      <w:pPr>
        <w:ind w:left="9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49C0084F"/>
    <w:multiLevelType w:val="hybridMultilevel"/>
    <w:tmpl w:val="DD22FCD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CC27F05"/>
    <w:multiLevelType w:val="multilevel"/>
    <w:tmpl w:val="A426B1D6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3" w:hanging="425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−"/>
      <w:lvlJc w:val="left"/>
      <w:pPr>
        <w:ind w:left="1122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2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8F"/>
    <w:rsid w:val="00005CA1"/>
    <w:rsid w:val="00195D74"/>
    <w:rsid w:val="002245DA"/>
    <w:rsid w:val="00261919"/>
    <w:rsid w:val="002B7C40"/>
    <w:rsid w:val="00361287"/>
    <w:rsid w:val="0037562F"/>
    <w:rsid w:val="00466B01"/>
    <w:rsid w:val="004B2711"/>
    <w:rsid w:val="0064134F"/>
    <w:rsid w:val="006448EE"/>
    <w:rsid w:val="006D5143"/>
    <w:rsid w:val="007A6192"/>
    <w:rsid w:val="00804EB7"/>
    <w:rsid w:val="00851EBF"/>
    <w:rsid w:val="008D6AED"/>
    <w:rsid w:val="00980BC6"/>
    <w:rsid w:val="009B5692"/>
    <w:rsid w:val="00A310C3"/>
    <w:rsid w:val="00B06B6D"/>
    <w:rsid w:val="00C32BCD"/>
    <w:rsid w:val="00ED2B8F"/>
    <w:rsid w:val="00F34506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482D2-3F48-42A7-A6E5-EAE343A4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2B8F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ED2B8F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ED2B8F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ED2B8F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ED2B8F"/>
    <w:rPr>
      <w:b/>
      <w:bCs/>
    </w:rPr>
  </w:style>
  <w:style w:type="paragraph" w:customStyle="1" w:styleId="05">
    <w:name w:val="05 ТЕКСТ СОГЛАСИЯ"/>
    <w:link w:val="050"/>
    <w:qFormat/>
    <w:rsid w:val="00ED2B8F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ED2B8F"/>
    <w:rPr>
      <w:rFonts w:ascii="Arial" w:eastAsia="Calibri" w:hAnsi="Arial" w:cs="Arial"/>
      <w:sz w:val="16"/>
    </w:rPr>
  </w:style>
  <w:style w:type="table" w:styleId="a4">
    <w:name w:val="Table Grid"/>
    <w:basedOn w:val="a1"/>
    <w:uiPriority w:val="59"/>
    <w:rsid w:val="00ED2B8F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ED2B8F"/>
    <w:pPr>
      <w:ind w:left="0" w:right="0"/>
    </w:pPr>
  </w:style>
  <w:style w:type="paragraph" w:customStyle="1" w:styleId="06">
    <w:name w:val="06 ТАБЛИЦА В ТЕКСТЕ"/>
    <w:link w:val="060"/>
    <w:qFormat/>
    <w:rsid w:val="00ED2B8F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ED2B8F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B8F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B8F"/>
    <w:rPr>
      <w:rFonts w:ascii="Tahoma" w:eastAsia="Calibri" w:hAnsi="Tahoma" w:cs="Times New Roman"/>
    </w:rPr>
  </w:style>
  <w:style w:type="character" w:styleId="a9">
    <w:name w:val="annotation reference"/>
    <w:basedOn w:val="a0"/>
    <w:uiPriority w:val="99"/>
    <w:semiHidden/>
    <w:unhideWhenUsed/>
    <w:rsid w:val="00ED2B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2B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2B8F"/>
    <w:rPr>
      <w:rFonts w:ascii="Tahoma" w:eastAsia="Calibri" w:hAnsi="Tahoma" w:cs="Times New Roman"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ED2B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D2B8F"/>
    <w:rPr>
      <w:rFonts w:ascii="Tahoma" w:eastAsia="Calibri" w:hAnsi="Tahoma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2B8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05CA1"/>
    <w:pPr>
      <w:spacing w:after="0" w:line="240" w:lineRule="auto"/>
    </w:pPr>
    <w:rPr>
      <w:rFonts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5CA1"/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04EB7"/>
    <w:pPr>
      <w:ind w:left="720"/>
      <w:contextualSpacing/>
    </w:p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4B2711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4B2711"/>
    <w:rPr>
      <w:rFonts w:ascii="Tahoma" w:eastAsia="Calibri" w:hAnsi="Tahoma" w:cs="Times New Roman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F62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zhava.ru/securities/broker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erzhava.ru/securities/broke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erzhava.ru/securities/brok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rzhava.ru/securities/broker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7</cp:revision>
  <cp:lastPrinted>2024-04-11T14:41:00Z</cp:lastPrinted>
  <dcterms:created xsi:type="dcterms:W3CDTF">2023-09-15T10:14:00Z</dcterms:created>
  <dcterms:modified xsi:type="dcterms:W3CDTF">2024-04-11T14:56:00Z</dcterms:modified>
</cp:coreProperties>
</file>