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98D" w:rsidRPr="007E398D" w:rsidRDefault="007E398D" w:rsidP="007E398D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E398D" w:rsidRDefault="0015113C" w:rsidP="007E398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Тарифы</w:t>
      </w:r>
      <w:r w:rsidR="00EA30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1B88">
        <w:rPr>
          <w:rFonts w:ascii="Times New Roman" w:hAnsi="Times New Roman" w:cs="Times New Roman"/>
          <w:b/>
          <w:sz w:val="24"/>
          <w:szCs w:val="24"/>
        </w:rPr>
        <w:t xml:space="preserve">АКБ «Держава» ПАО по </w:t>
      </w:r>
      <w:r w:rsidR="00EA3066">
        <w:rPr>
          <w:rFonts w:ascii="Times New Roman" w:hAnsi="Times New Roman" w:cs="Times New Roman"/>
          <w:b/>
          <w:sz w:val="24"/>
          <w:szCs w:val="24"/>
        </w:rPr>
        <w:t>брокерско</w:t>
      </w:r>
      <w:r w:rsidR="00A01B88">
        <w:rPr>
          <w:rFonts w:ascii="Times New Roman" w:hAnsi="Times New Roman" w:cs="Times New Roman"/>
          <w:b/>
          <w:sz w:val="24"/>
          <w:szCs w:val="24"/>
        </w:rPr>
        <w:t>му</w:t>
      </w:r>
      <w:r w:rsidR="00EA3066">
        <w:rPr>
          <w:rFonts w:ascii="Times New Roman" w:hAnsi="Times New Roman" w:cs="Times New Roman"/>
          <w:b/>
          <w:sz w:val="24"/>
          <w:szCs w:val="24"/>
        </w:rPr>
        <w:t xml:space="preserve"> обслуживани</w:t>
      </w:r>
      <w:r w:rsidR="00A01B88">
        <w:rPr>
          <w:rFonts w:ascii="Times New Roman" w:hAnsi="Times New Roman" w:cs="Times New Roman"/>
          <w:b/>
          <w:sz w:val="24"/>
          <w:szCs w:val="24"/>
        </w:rPr>
        <w:t>ю</w:t>
      </w:r>
    </w:p>
    <w:p w:rsidR="00A01B88" w:rsidRPr="009125E4" w:rsidRDefault="00A01B88" w:rsidP="007E398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(действуют с «</w:t>
      </w:r>
      <w:r w:rsidR="00927042">
        <w:rPr>
          <w:rFonts w:ascii="Times New Roman" w:hAnsi="Times New Roman" w:cs="Times New Roman"/>
          <w:b/>
          <w:sz w:val="24"/>
          <w:szCs w:val="24"/>
          <w:lang w:val="en-US"/>
        </w:rPr>
        <w:t>03</w:t>
      </w:r>
      <w:r w:rsidR="00927042">
        <w:rPr>
          <w:rFonts w:ascii="Times New Roman" w:hAnsi="Times New Roman" w:cs="Times New Roman"/>
          <w:b/>
          <w:sz w:val="24"/>
          <w:szCs w:val="24"/>
        </w:rPr>
        <w:t>»</w:t>
      </w:r>
      <w:r w:rsidR="009270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27042">
        <w:rPr>
          <w:rFonts w:ascii="Times New Roman" w:hAnsi="Times New Roman" w:cs="Times New Roman"/>
          <w:b/>
          <w:sz w:val="24"/>
          <w:szCs w:val="24"/>
        </w:rPr>
        <w:t xml:space="preserve">сентября </w:t>
      </w:r>
      <w:bookmarkStart w:id="0" w:name="_GoBack"/>
      <w:bookmarkEnd w:id="0"/>
      <w:r w:rsidR="00E80ADB" w:rsidRPr="00E80ADB">
        <w:rPr>
          <w:rFonts w:ascii="Times New Roman" w:hAnsi="Times New Roman" w:cs="Times New Roman"/>
          <w:b/>
          <w:sz w:val="24"/>
          <w:szCs w:val="24"/>
        </w:rPr>
        <w:t>20</w:t>
      </w:r>
      <w:r w:rsidR="00927042">
        <w:rPr>
          <w:rFonts w:ascii="Times New Roman" w:hAnsi="Times New Roman" w:cs="Times New Roman"/>
          <w:b/>
          <w:sz w:val="24"/>
          <w:szCs w:val="24"/>
        </w:rPr>
        <w:t xml:space="preserve">18 </w:t>
      </w:r>
      <w:r>
        <w:rPr>
          <w:rFonts w:ascii="Times New Roman" w:hAnsi="Times New Roman" w:cs="Times New Roman"/>
          <w:b/>
          <w:sz w:val="24"/>
          <w:szCs w:val="24"/>
        </w:rPr>
        <w:t>г.)</w:t>
      </w:r>
    </w:p>
    <w:p w:rsidR="007E398D" w:rsidRPr="007C4928" w:rsidRDefault="007E398D" w:rsidP="00B66EC2">
      <w:pPr>
        <w:pStyle w:val="21"/>
        <w:tabs>
          <w:tab w:val="left" w:pos="6237"/>
        </w:tabs>
        <w:ind w:right="424"/>
        <w:rPr>
          <w:sz w:val="24"/>
          <w:szCs w:val="24"/>
        </w:rPr>
      </w:pPr>
      <w:r w:rsidRPr="007E398D">
        <w:rPr>
          <w:sz w:val="24"/>
          <w:szCs w:val="24"/>
        </w:rPr>
        <w:t xml:space="preserve">Брокерское вознаграждение </w:t>
      </w:r>
      <w:r w:rsidRPr="007C4928">
        <w:rPr>
          <w:sz w:val="24"/>
          <w:szCs w:val="24"/>
        </w:rPr>
        <w:t xml:space="preserve">Банка не включает вознаграждение сторонних депозитариев, клиринговых организаций, торговых систем или иных третьих лиц, участие которых необходимо для исполнения поручений Клиента. </w:t>
      </w:r>
      <w:proofErr w:type="gramStart"/>
      <w:r w:rsidRPr="007C4928">
        <w:rPr>
          <w:sz w:val="24"/>
          <w:szCs w:val="24"/>
        </w:rPr>
        <w:t>Возмещение расходов, понесенных Банком при исполнении поручений Клиента, производится по установленным такими третьими лицами ставкам путем списания суммы денежных средств с Брокерского счета Клиента на условиях заранее данного акцепта, либо, при недостаточности средств, путем перечисления Клиентом необходимой суммы денежных средств по указанным Банком реквизитам.</w:t>
      </w:r>
      <w:proofErr w:type="gramEnd"/>
    </w:p>
    <w:p w:rsidR="004C661F" w:rsidRDefault="004C661F" w:rsidP="00B66EC2">
      <w:pPr>
        <w:pStyle w:val="21"/>
        <w:tabs>
          <w:tab w:val="left" w:pos="6237"/>
        </w:tabs>
        <w:ind w:right="424"/>
        <w:rPr>
          <w:sz w:val="24"/>
          <w:szCs w:val="24"/>
        </w:rPr>
      </w:pPr>
      <w:r w:rsidRPr="007C4928">
        <w:rPr>
          <w:sz w:val="24"/>
          <w:szCs w:val="24"/>
        </w:rPr>
        <w:t xml:space="preserve">Вознаграждение Банка, рассчитанное в иностранной валюте, </w:t>
      </w:r>
      <w:r w:rsidR="00E36B17" w:rsidRPr="007C4928">
        <w:rPr>
          <w:sz w:val="24"/>
          <w:szCs w:val="24"/>
        </w:rPr>
        <w:t xml:space="preserve">может </w:t>
      </w:r>
      <w:r w:rsidR="0068367E" w:rsidRPr="007C4928">
        <w:rPr>
          <w:sz w:val="24"/>
          <w:szCs w:val="24"/>
        </w:rPr>
        <w:t>списыва</w:t>
      </w:r>
      <w:r w:rsidRPr="007C4928">
        <w:rPr>
          <w:sz w:val="24"/>
          <w:szCs w:val="24"/>
        </w:rPr>
        <w:t>т</w:t>
      </w:r>
      <w:r w:rsidR="00E36B17" w:rsidRPr="007C4928">
        <w:rPr>
          <w:sz w:val="24"/>
          <w:szCs w:val="24"/>
        </w:rPr>
        <w:t>ь</w:t>
      </w:r>
      <w:r w:rsidRPr="007C4928">
        <w:rPr>
          <w:sz w:val="24"/>
          <w:szCs w:val="24"/>
        </w:rPr>
        <w:t xml:space="preserve">ся </w:t>
      </w:r>
      <w:proofErr w:type="gramStart"/>
      <w:r w:rsidRPr="007C4928">
        <w:rPr>
          <w:sz w:val="24"/>
          <w:szCs w:val="24"/>
        </w:rPr>
        <w:t>Банком</w:t>
      </w:r>
      <w:proofErr w:type="gramEnd"/>
      <w:r w:rsidRPr="007C4928">
        <w:rPr>
          <w:sz w:val="24"/>
          <w:szCs w:val="24"/>
        </w:rPr>
        <w:t xml:space="preserve"> </w:t>
      </w:r>
      <w:r w:rsidR="00817472" w:rsidRPr="007C4928">
        <w:rPr>
          <w:sz w:val="24"/>
          <w:szCs w:val="24"/>
        </w:rPr>
        <w:t xml:space="preserve">как в </w:t>
      </w:r>
      <w:r w:rsidR="004E4A88" w:rsidRPr="007C4928">
        <w:rPr>
          <w:sz w:val="24"/>
          <w:szCs w:val="24"/>
        </w:rPr>
        <w:t xml:space="preserve">иностранной </w:t>
      </w:r>
      <w:r w:rsidR="00817472" w:rsidRPr="007C4928">
        <w:rPr>
          <w:sz w:val="24"/>
          <w:szCs w:val="24"/>
        </w:rPr>
        <w:t>валюте</w:t>
      </w:r>
      <w:r w:rsidR="004E4A88" w:rsidRPr="007C4928">
        <w:rPr>
          <w:sz w:val="24"/>
          <w:szCs w:val="24"/>
        </w:rPr>
        <w:t xml:space="preserve">, так и </w:t>
      </w:r>
      <w:r w:rsidRPr="007C4928">
        <w:rPr>
          <w:sz w:val="24"/>
          <w:szCs w:val="24"/>
        </w:rPr>
        <w:t>в рублях Российской Федерации по курсу Центрального банка Российской Федерации, установленному</w:t>
      </w:r>
      <w:r>
        <w:rPr>
          <w:sz w:val="24"/>
          <w:szCs w:val="24"/>
        </w:rPr>
        <w:t xml:space="preserve"> на дату расчета. </w:t>
      </w:r>
    </w:p>
    <w:p w:rsidR="004C661F" w:rsidRDefault="004C661F" w:rsidP="00B66EC2">
      <w:pPr>
        <w:pStyle w:val="21"/>
        <w:tabs>
          <w:tab w:val="left" w:pos="6237"/>
        </w:tabs>
        <w:ind w:right="424"/>
        <w:rPr>
          <w:sz w:val="24"/>
          <w:szCs w:val="24"/>
        </w:rPr>
      </w:pPr>
      <w:r w:rsidRPr="004C661F">
        <w:rPr>
          <w:sz w:val="24"/>
          <w:szCs w:val="24"/>
        </w:rPr>
        <w:t>Торговый оборот</w:t>
      </w:r>
      <w:r>
        <w:rPr>
          <w:sz w:val="24"/>
          <w:szCs w:val="24"/>
        </w:rPr>
        <w:t xml:space="preserve"> (оборот)</w:t>
      </w:r>
      <w:r w:rsidRPr="004C661F">
        <w:rPr>
          <w:sz w:val="24"/>
          <w:szCs w:val="24"/>
        </w:rPr>
        <w:t xml:space="preserve"> за период рассчитывается как сумма всех сделок, заключенных по поручениям за указанный период. </w:t>
      </w:r>
    </w:p>
    <w:p w:rsidR="007E398D" w:rsidRDefault="007E398D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E398D" w:rsidRPr="00393A19" w:rsidRDefault="007E398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A19">
        <w:rPr>
          <w:rFonts w:ascii="Times New Roman" w:hAnsi="Times New Roman" w:cs="Times New Roman"/>
          <w:b/>
          <w:sz w:val="24"/>
          <w:szCs w:val="24"/>
        </w:rPr>
        <w:t>Тарифный план «Торговый»</w:t>
      </w:r>
    </w:p>
    <w:p w:rsidR="00412709" w:rsidRDefault="0041270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 применения Тарифного плана: только для юридических лиц.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78"/>
        <w:gridCol w:w="3075"/>
        <w:gridCol w:w="3344"/>
      </w:tblGrid>
      <w:tr w:rsidR="007E398D" w:rsidTr="00FF6038">
        <w:trPr>
          <w:trHeight w:val="690"/>
        </w:trPr>
        <w:tc>
          <w:tcPr>
            <w:tcW w:w="3178" w:type="dxa"/>
            <w:tcBorders>
              <w:bottom w:val="single" w:sz="4" w:space="0" w:color="auto"/>
            </w:tcBorders>
          </w:tcPr>
          <w:p w:rsidR="007E398D" w:rsidRDefault="007E398D" w:rsidP="007E39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совершения операций (Рынок инструмента), тип сделки</w:t>
            </w:r>
            <w:r w:rsidR="008A170F">
              <w:rPr>
                <w:rFonts w:ascii="Times New Roman" w:hAnsi="Times New Roman" w:cs="Times New Roman"/>
                <w:sz w:val="24"/>
                <w:szCs w:val="24"/>
              </w:rPr>
              <w:t>, режим торгов</w:t>
            </w:r>
          </w:p>
        </w:tc>
        <w:tc>
          <w:tcPr>
            <w:tcW w:w="3075" w:type="dxa"/>
            <w:tcBorders>
              <w:bottom w:val="single" w:sz="4" w:space="0" w:color="auto"/>
            </w:tcBorders>
          </w:tcPr>
          <w:p w:rsidR="0068367E" w:rsidRDefault="006836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7E">
              <w:rPr>
                <w:rFonts w:ascii="Times New Roman" w:hAnsi="Times New Roman" w:cs="Times New Roman"/>
                <w:sz w:val="24"/>
                <w:szCs w:val="24"/>
              </w:rPr>
              <w:t>Брокерское вознаграждение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</w:p>
          <w:p w:rsidR="007E398D" w:rsidRDefault="007E39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расчета</w:t>
            </w:r>
          </w:p>
        </w:tc>
        <w:tc>
          <w:tcPr>
            <w:tcW w:w="3344" w:type="dxa"/>
            <w:tcBorders>
              <w:bottom w:val="single" w:sz="4" w:space="0" w:color="auto"/>
            </w:tcBorders>
          </w:tcPr>
          <w:p w:rsidR="007E398D" w:rsidRDefault="007E39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Особые условия</w:t>
            </w:r>
          </w:p>
        </w:tc>
      </w:tr>
      <w:tr w:rsidR="009125E4" w:rsidTr="00B66EC2">
        <w:trPr>
          <w:trHeight w:val="230"/>
        </w:trPr>
        <w:tc>
          <w:tcPr>
            <w:tcW w:w="9597" w:type="dxa"/>
            <w:gridSpan w:val="3"/>
            <w:shd w:val="clear" w:color="auto" w:fill="auto"/>
          </w:tcPr>
          <w:p w:rsidR="009125E4" w:rsidRPr="008A170F" w:rsidRDefault="009125E4">
            <w:pPr>
              <w:contextualSpacing/>
              <w:jc w:val="center"/>
              <w:rPr>
                <w:rFonts w:ascii="Times New Roman" w:hAnsi="Times New Roman" w:cs="Times New Roman"/>
                <w:b/>
                <w:color w:val="993366"/>
                <w:sz w:val="24"/>
                <w:szCs w:val="24"/>
              </w:rPr>
            </w:pPr>
            <w:r w:rsidRPr="008A170F">
              <w:rPr>
                <w:rFonts w:ascii="Times New Roman" w:hAnsi="Times New Roman" w:cs="Times New Roman"/>
                <w:b/>
                <w:color w:val="993366"/>
                <w:sz w:val="24"/>
                <w:szCs w:val="24"/>
              </w:rPr>
              <w:t>Фондовый рынок</w:t>
            </w:r>
          </w:p>
        </w:tc>
      </w:tr>
      <w:tr w:rsidR="007E398D" w:rsidTr="00FF6038">
        <w:trPr>
          <w:trHeight w:val="805"/>
        </w:trPr>
        <w:tc>
          <w:tcPr>
            <w:tcW w:w="3178" w:type="dxa"/>
          </w:tcPr>
          <w:p w:rsidR="007E398D" w:rsidRDefault="00100840" w:rsidP="001008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покупки/продажи ценных бумаг</w:t>
            </w:r>
          </w:p>
        </w:tc>
        <w:tc>
          <w:tcPr>
            <w:tcW w:w="3075" w:type="dxa"/>
          </w:tcPr>
          <w:p w:rsidR="007E398D" w:rsidRDefault="007E398D" w:rsidP="009125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0,1% от оборота</w:t>
            </w:r>
          </w:p>
        </w:tc>
        <w:tc>
          <w:tcPr>
            <w:tcW w:w="3344" w:type="dxa"/>
          </w:tcPr>
          <w:p w:rsidR="00E82097" w:rsidRPr="00DA39DF" w:rsidRDefault="00E82097" w:rsidP="00584A7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39DF">
              <w:rPr>
                <w:rFonts w:ascii="Times New Roman" w:hAnsi="Times New Roman" w:cs="Times New Roman"/>
                <w:sz w:val="20"/>
                <w:szCs w:val="20"/>
              </w:rPr>
              <w:t xml:space="preserve">Вознаграждение </w:t>
            </w:r>
            <w:r w:rsidR="0068367E" w:rsidRPr="00DA39DF">
              <w:rPr>
                <w:rFonts w:ascii="Times New Roman" w:hAnsi="Times New Roman" w:cs="Times New Roman"/>
                <w:sz w:val="20"/>
                <w:szCs w:val="20"/>
              </w:rPr>
              <w:t>списывае</w:t>
            </w:r>
            <w:r w:rsidRPr="00DA39DF">
              <w:rPr>
                <w:rFonts w:ascii="Times New Roman" w:hAnsi="Times New Roman" w:cs="Times New Roman"/>
                <w:sz w:val="20"/>
                <w:szCs w:val="20"/>
              </w:rPr>
              <w:t xml:space="preserve">тся </w:t>
            </w:r>
            <w:r w:rsidR="0068367E" w:rsidRPr="00DA39DF">
              <w:rPr>
                <w:rFonts w:ascii="Times New Roman" w:hAnsi="Times New Roman" w:cs="Times New Roman"/>
                <w:sz w:val="20"/>
                <w:szCs w:val="20"/>
              </w:rPr>
              <w:t>по каждой</w:t>
            </w:r>
            <w:r w:rsidRPr="00DA39DF">
              <w:rPr>
                <w:rFonts w:ascii="Times New Roman" w:hAnsi="Times New Roman" w:cs="Times New Roman"/>
                <w:sz w:val="20"/>
                <w:szCs w:val="20"/>
              </w:rPr>
              <w:t xml:space="preserve"> сделк</w:t>
            </w:r>
            <w:r w:rsidR="0068367E" w:rsidRPr="00DA39D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630D4">
              <w:rPr>
                <w:rFonts w:ascii="Times New Roman" w:hAnsi="Times New Roman" w:cs="Times New Roman"/>
                <w:sz w:val="20"/>
                <w:szCs w:val="20"/>
              </w:rPr>
              <w:t xml:space="preserve"> в дату заключения сделки</w:t>
            </w:r>
            <w:r w:rsidRPr="00DA39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C661F" w:rsidRPr="00DA39DF" w:rsidRDefault="004C661F" w:rsidP="00584A7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39DF">
              <w:rPr>
                <w:rFonts w:ascii="Times New Roman" w:hAnsi="Times New Roman" w:cs="Times New Roman"/>
                <w:sz w:val="20"/>
                <w:szCs w:val="20"/>
              </w:rPr>
              <w:t xml:space="preserve">Вознаграждение не взимается по сделкам с </w:t>
            </w:r>
            <w:r w:rsidR="00584A7A" w:rsidRPr="00DA39DF">
              <w:rPr>
                <w:rFonts w:ascii="Times New Roman" w:hAnsi="Times New Roman" w:cs="Times New Roman"/>
                <w:sz w:val="20"/>
                <w:szCs w:val="20"/>
              </w:rPr>
              <w:t>ценными бумагами из Списка инструментов</w:t>
            </w:r>
            <w:r w:rsidR="00393A19" w:rsidRPr="00DA39D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4C661F" w:rsidRPr="00DA39DF" w:rsidRDefault="004C66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98D" w:rsidTr="00FF6038">
        <w:trPr>
          <w:trHeight w:val="460"/>
        </w:trPr>
        <w:tc>
          <w:tcPr>
            <w:tcW w:w="3178" w:type="dxa"/>
            <w:tcBorders>
              <w:bottom w:val="single" w:sz="4" w:space="0" w:color="auto"/>
            </w:tcBorders>
          </w:tcPr>
          <w:p w:rsidR="007E398D" w:rsidRDefault="004C661F" w:rsidP="00094D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РЕПО</w:t>
            </w:r>
            <w:r w:rsidR="00F02E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75" w:type="dxa"/>
            <w:tcBorders>
              <w:bottom w:val="single" w:sz="4" w:space="0" w:color="auto"/>
            </w:tcBorders>
          </w:tcPr>
          <w:p w:rsidR="007E398D" w:rsidRDefault="00F02EC7" w:rsidP="004C66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4B">
              <w:rPr>
                <w:rFonts w:ascii="Times New Roman" w:hAnsi="Times New Roman"/>
              </w:rPr>
              <w:t>0,1% (ноль целых одна десятая процента) годовых за каждую сделку (1-ю часть РЕПО)</w:t>
            </w:r>
          </w:p>
        </w:tc>
        <w:tc>
          <w:tcPr>
            <w:tcW w:w="3344" w:type="dxa"/>
            <w:tcBorders>
              <w:bottom w:val="single" w:sz="4" w:space="0" w:color="auto"/>
            </w:tcBorders>
          </w:tcPr>
          <w:p w:rsidR="007E398D" w:rsidRPr="00DA39DF" w:rsidRDefault="00E82097" w:rsidP="00E8209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9DF">
              <w:rPr>
                <w:rFonts w:ascii="Times New Roman" w:hAnsi="Times New Roman" w:cs="Times New Roman"/>
                <w:sz w:val="20"/>
                <w:szCs w:val="20"/>
              </w:rPr>
              <w:t xml:space="preserve">Сумма вознаграждения Банка рассчитывается по всем совершенным в отчетном месяце сделкам и списывается с брокерского счета Клиента один раз в месяц в течение 5 (Пять) рабочих дней месяца следующего </w:t>
            </w:r>
            <w:proofErr w:type="gramStart"/>
            <w:r w:rsidRPr="00DA39DF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 w:rsidRPr="00DA39DF">
              <w:rPr>
                <w:rFonts w:ascii="Times New Roman" w:hAnsi="Times New Roman" w:cs="Times New Roman"/>
                <w:sz w:val="20"/>
                <w:szCs w:val="20"/>
              </w:rPr>
              <w:t xml:space="preserve"> отчетным</w:t>
            </w:r>
          </w:p>
        </w:tc>
      </w:tr>
      <w:tr w:rsidR="008A170F" w:rsidTr="00B66EC2">
        <w:trPr>
          <w:trHeight w:val="230"/>
        </w:trPr>
        <w:tc>
          <w:tcPr>
            <w:tcW w:w="9597" w:type="dxa"/>
            <w:gridSpan w:val="3"/>
            <w:shd w:val="clear" w:color="auto" w:fill="auto"/>
          </w:tcPr>
          <w:p w:rsidR="008A170F" w:rsidRDefault="008A17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0F">
              <w:rPr>
                <w:rFonts w:ascii="Times New Roman" w:hAnsi="Times New Roman" w:cs="Times New Roman"/>
                <w:b/>
                <w:color w:val="993366"/>
                <w:sz w:val="24"/>
                <w:szCs w:val="24"/>
              </w:rPr>
              <w:t>Внебиржевой рынок</w:t>
            </w:r>
          </w:p>
        </w:tc>
      </w:tr>
      <w:tr w:rsidR="007E398D" w:rsidTr="00FF6038">
        <w:trPr>
          <w:trHeight w:val="230"/>
        </w:trPr>
        <w:tc>
          <w:tcPr>
            <w:tcW w:w="3178" w:type="dxa"/>
            <w:tcBorders>
              <w:bottom w:val="single" w:sz="4" w:space="0" w:color="auto"/>
            </w:tcBorders>
          </w:tcPr>
          <w:p w:rsidR="007E398D" w:rsidRDefault="00BF31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A170F">
              <w:rPr>
                <w:rFonts w:ascii="Times New Roman" w:hAnsi="Times New Roman" w:cs="Times New Roman"/>
                <w:sz w:val="24"/>
                <w:szCs w:val="24"/>
              </w:rPr>
              <w:t>упля/продажа</w:t>
            </w:r>
          </w:p>
        </w:tc>
        <w:tc>
          <w:tcPr>
            <w:tcW w:w="3075" w:type="dxa"/>
            <w:tcBorders>
              <w:bottom w:val="single" w:sz="4" w:space="0" w:color="auto"/>
            </w:tcBorders>
          </w:tcPr>
          <w:p w:rsidR="007E398D" w:rsidRDefault="004C661F" w:rsidP="00E36B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0,2% от оборота</w:t>
            </w:r>
          </w:p>
        </w:tc>
        <w:tc>
          <w:tcPr>
            <w:tcW w:w="3344" w:type="dxa"/>
            <w:tcBorders>
              <w:bottom w:val="single" w:sz="4" w:space="0" w:color="auto"/>
            </w:tcBorders>
          </w:tcPr>
          <w:p w:rsidR="00E82097" w:rsidRDefault="00E82097" w:rsidP="00E820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Вознаграждение взимается за каждую сделку</w:t>
            </w:r>
            <w:r w:rsidR="002147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478D" w:rsidRPr="0021478D">
              <w:rPr>
                <w:rFonts w:ascii="Times New Roman" w:hAnsi="Times New Roman" w:cs="Times New Roman"/>
                <w:sz w:val="20"/>
                <w:szCs w:val="20"/>
              </w:rPr>
              <w:t>в день совершения денежных расчетов по сделке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E398D" w:rsidRDefault="007E39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70F" w:rsidTr="00B66EC2">
        <w:trPr>
          <w:trHeight w:val="230"/>
        </w:trPr>
        <w:tc>
          <w:tcPr>
            <w:tcW w:w="9597" w:type="dxa"/>
            <w:gridSpan w:val="3"/>
            <w:shd w:val="clear" w:color="auto" w:fill="auto"/>
          </w:tcPr>
          <w:p w:rsidR="008A170F" w:rsidRDefault="008A170F" w:rsidP="008A17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993366"/>
                <w:sz w:val="24"/>
                <w:szCs w:val="24"/>
              </w:rPr>
              <w:t>Срочный</w:t>
            </w:r>
            <w:r w:rsidRPr="008A170F">
              <w:rPr>
                <w:rFonts w:ascii="Times New Roman" w:hAnsi="Times New Roman" w:cs="Times New Roman"/>
                <w:b/>
                <w:color w:val="993366"/>
                <w:sz w:val="24"/>
                <w:szCs w:val="24"/>
              </w:rPr>
              <w:t xml:space="preserve"> рынок</w:t>
            </w:r>
          </w:p>
        </w:tc>
      </w:tr>
      <w:tr w:rsidR="007E398D" w:rsidTr="00FF6038">
        <w:trPr>
          <w:trHeight w:val="241"/>
        </w:trPr>
        <w:tc>
          <w:tcPr>
            <w:tcW w:w="3178" w:type="dxa"/>
          </w:tcPr>
          <w:p w:rsidR="007E398D" w:rsidRDefault="00BF31D5" w:rsidP="009125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125E4">
              <w:rPr>
                <w:rFonts w:ascii="Times New Roman" w:hAnsi="Times New Roman" w:cs="Times New Roman"/>
                <w:sz w:val="24"/>
                <w:szCs w:val="24"/>
              </w:rPr>
              <w:t>упля/продажа срочных контрактов</w:t>
            </w:r>
          </w:p>
        </w:tc>
        <w:tc>
          <w:tcPr>
            <w:tcW w:w="3075" w:type="dxa"/>
          </w:tcPr>
          <w:p w:rsidR="007E398D" w:rsidRDefault="00E36B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4B">
              <w:rPr>
                <w:rFonts w:ascii="Times New Roman" w:hAnsi="Times New Roman"/>
              </w:rPr>
              <w:t>3 (Три) рубля за каждый заключенный по заявке клиента контракт</w:t>
            </w:r>
          </w:p>
        </w:tc>
        <w:tc>
          <w:tcPr>
            <w:tcW w:w="3344" w:type="dxa"/>
          </w:tcPr>
          <w:p w:rsidR="00E80ADB" w:rsidRPr="00E80ADB" w:rsidRDefault="0086225D" w:rsidP="00E80AD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39DF">
              <w:rPr>
                <w:rFonts w:ascii="Times New Roman" w:hAnsi="Times New Roman" w:cs="Times New Roman"/>
                <w:sz w:val="20"/>
                <w:szCs w:val="20"/>
              </w:rPr>
              <w:t>Вознаграждение списывается по каждой сделке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дату заключения сделки</w:t>
            </w:r>
            <w:r w:rsidRPr="00DA39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125E4" w:rsidTr="00FF6038">
        <w:trPr>
          <w:trHeight w:val="460"/>
        </w:trPr>
        <w:tc>
          <w:tcPr>
            <w:tcW w:w="3178" w:type="dxa"/>
          </w:tcPr>
          <w:p w:rsidR="009125E4" w:rsidRDefault="008A17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 на поставку базового актива</w:t>
            </w:r>
          </w:p>
        </w:tc>
        <w:tc>
          <w:tcPr>
            <w:tcW w:w="3075" w:type="dxa"/>
          </w:tcPr>
          <w:p w:rsidR="009125E4" w:rsidRDefault="003E36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4B">
              <w:rPr>
                <w:rFonts w:ascii="Times New Roman" w:hAnsi="Times New Roman"/>
              </w:rPr>
              <w:t>3 (Три) рубля за каждый заключенный по заявке клиента контракт</w:t>
            </w:r>
          </w:p>
        </w:tc>
        <w:tc>
          <w:tcPr>
            <w:tcW w:w="3344" w:type="dxa"/>
          </w:tcPr>
          <w:p w:rsidR="00E80ADB" w:rsidRPr="00E80ADB" w:rsidRDefault="0086225D" w:rsidP="00E80AD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39DF">
              <w:rPr>
                <w:rFonts w:ascii="Times New Roman" w:hAnsi="Times New Roman" w:cs="Times New Roman"/>
                <w:sz w:val="20"/>
                <w:szCs w:val="20"/>
              </w:rPr>
              <w:t>Вознаграждение списывается по каждой сделке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дату заключения сделки</w:t>
            </w:r>
            <w:r w:rsidRPr="00DA39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125E4" w:rsidTr="00FF6038">
        <w:trPr>
          <w:trHeight w:val="460"/>
        </w:trPr>
        <w:tc>
          <w:tcPr>
            <w:tcW w:w="3178" w:type="dxa"/>
          </w:tcPr>
          <w:p w:rsidR="009125E4" w:rsidRDefault="004C3830" w:rsidP="00FE4B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Обслуживание отдельной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«брокерской фирмы» </w:t>
            </w:r>
          </w:p>
        </w:tc>
        <w:tc>
          <w:tcPr>
            <w:tcW w:w="3075" w:type="dxa"/>
          </w:tcPr>
          <w:p w:rsidR="009125E4" w:rsidRPr="007A7433" w:rsidRDefault="00094D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A7433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344" w:type="dxa"/>
          </w:tcPr>
          <w:p w:rsidR="009125E4" w:rsidRPr="007A7433" w:rsidRDefault="007A743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33">
              <w:rPr>
                <w:rFonts w:ascii="Times New Roman" w:hAnsi="Times New Roman" w:cs="Times New Roman"/>
                <w:sz w:val="20"/>
                <w:szCs w:val="20"/>
              </w:rPr>
              <w:t>Взимается ежемесячно.</w:t>
            </w:r>
          </w:p>
        </w:tc>
      </w:tr>
      <w:tr w:rsidR="00FF6038" w:rsidRPr="000865C1" w:rsidTr="00062781">
        <w:trPr>
          <w:trHeight w:val="460"/>
        </w:trPr>
        <w:tc>
          <w:tcPr>
            <w:tcW w:w="9597" w:type="dxa"/>
            <w:gridSpan w:val="3"/>
          </w:tcPr>
          <w:p w:rsidR="00FF6038" w:rsidRPr="000865C1" w:rsidRDefault="00FF6038" w:rsidP="00FF603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865C1">
              <w:rPr>
                <w:rFonts w:ascii="Times New Roman" w:hAnsi="Times New Roman" w:cs="Times New Roman"/>
                <w:b/>
              </w:rPr>
              <w:lastRenderedPageBreak/>
              <w:t>Ставки депозитной маржи (установлены в % от ГО, указанного в спецификации соответствующих контрактов)</w:t>
            </w:r>
            <w:proofErr w:type="gramEnd"/>
          </w:p>
        </w:tc>
      </w:tr>
      <w:tr w:rsidR="00FF6038" w:rsidTr="00FF6038">
        <w:trPr>
          <w:trHeight w:val="460"/>
        </w:trPr>
        <w:tc>
          <w:tcPr>
            <w:tcW w:w="3178" w:type="dxa"/>
          </w:tcPr>
          <w:p w:rsidR="00FF6038" w:rsidRPr="007A7433" w:rsidRDefault="003E36D0" w:rsidP="003E36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33">
              <w:rPr>
                <w:rFonts w:ascii="Times New Roman" w:hAnsi="Times New Roman" w:cs="Times New Roman"/>
                <w:sz w:val="24"/>
                <w:szCs w:val="24"/>
              </w:rPr>
              <w:t>Любые фьючерсные контракты</w:t>
            </w:r>
          </w:p>
        </w:tc>
        <w:tc>
          <w:tcPr>
            <w:tcW w:w="3075" w:type="dxa"/>
          </w:tcPr>
          <w:p w:rsidR="00FF6038" w:rsidRPr="007A7433" w:rsidRDefault="00FF6038" w:rsidP="000627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43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344" w:type="dxa"/>
          </w:tcPr>
          <w:p w:rsidR="00FF6038" w:rsidRDefault="00FE4BC8" w:rsidP="000627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E398D" w:rsidRDefault="007E398D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E398D" w:rsidRPr="00393A19" w:rsidRDefault="008A170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A19">
        <w:rPr>
          <w:rFonts w:ascii="Times New Roman" w:hAnsi="Times New Roman" w:cs="Times New Roman"/>
          <w:b/>
          <w:sz w:val="24"/>
          <w:szCs w:val="24"/>
        </w:rPr>
        <w:t>Тарифный план «Инвестиционный»</w:t>
      </w:r>
    </w:p>
    <w:p w:rsidR="00412709" w:rsidRDefault="0041270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Условия применения тарифного плана: </w:t>
      </w:r>
      <w:r w:rsidR="00CB609A">
        <w:rPr>
          <w:rFonts w:ascii="Times New Roman" w:hAnsi="Times New Roman" w:cs="Times New Roman"/>
          <w:sz w:val="24"/>
          <w:szCs w:val="24"/>
        </w:rPr>
        <w:t>для физических лиц;</w:t>
      </w:r>
      <w:r>
        <w:rPr>
          <w:rFonts w:ascii="Times New Roman" w:hAnsi="Times New Roman" w:cs="Times New Roman"/>
          <w:sz w:val="24"/>
          <w:szCs w:val="24"/>
        </w:rPr>
        <w:t xml:space="preserve"> доступен ограниченный список инструментов</w:t>
      </w:r>
      <w:r w:rsidR="004C3830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74"/>
        <w:gridCol w:w="3071"/>
        <w:gridCol w:w="3340"/>
      </w:tblGrid>
      <w:tr w:rsidR="00412709" w:rsidTr="00B66EC2">
        <w:trPr>
          <w:trHeight w:val="859"/>
        </w:trPr>
        <w:tc>
          <w:tcPr>
            <w:tcW w:w="3174" w:type="dxa"/>
            <w:tcBorders>
              <w:bottom w:val="single" w:sz="4" w:space="0" w:color="auto"/>
            </w:tcBorders>
          </w:tcPr>
          <w:p w:rsidR="00412709" w:rsidRDefault="00412709" w:rsidP="0041270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совершения операций (Рынок инструмента), тип сделки, режим торгов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412709" w:rsidRDefault="00412709" w:rsidP="0041270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Тариф, порядок расчета</w:t>
            </w:r>
          </w:p>
        </w:tc>
        <w:tc>
          <w:tcPr>
            <w:tcW w:w="3339" w:type="dxa"/>
            <w:tcBorders>
              <w:bottom w:val="single" w:sz="4" w:space="0" w:color="auto"/>
            </w:tcBorders>
          </w:tcPr>
          <w:p w:rsidR="00412709" w:rsidRDefault="00412709" w:rsidP="0041270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Особые условия</w:t>
            </w:r>
          </w:p>
        </w:tc>
      </w:tr>
      <w:tr w:rsidR="002744F4" w:rsidTr="00B66EC2">
        <w:trPr>
          <w:trHeight w:val="286"/>
        </w:trPr>
        <w:tc>
          <w:tcPr>
            <w:tcW w:w="9585" w:type="dxa"/>
            <w:gridSpan w:val="3"/>
            <w:shd w:val="clear" w:color="auto" w:fill="auto"/>
          </w:tcPr>
          <w:p w:rsidR="002744F4" w:rsidRPr="008A170F" w:rsidRDefault="00393A19" w:rsidP="00393A19">
            <w:pPr>
              <w:contextualSpacing/>
              <w:jc w:val="center"/>
              <w:rPr>
                <w:rFonts w:ascii="Times New Roman" w:hAnsi="Times New Roman" w:cs="Times New Roman"/>
                <w:b/>
                <w:color w:val="99336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993366"/>
                <w:sz w:val="24"/>
                <w:szCs w:val="24"/>
              </w:rPr>
              <w:t>Вознаграждение за обслуживание</w:t>
            </w:r>
          </w:p>
        </w:tc>
      </w:tr>
      <w:tr w:rsidR="004C3830" w:rsidTr="00B66EC2">
        <w:trPr>
          <w:trHeight w:val="2879"/>
        </w:trPr>
        <w:tc>
          <w:tcPr>
            <w:tcW w:w="3174" w:type="dxa"/>
            <w:tcBorders>
              <w:bottom w:val="single" w:sz="4" w:space="0" w:color="auto"/>
            </w:tcBorders>
          </w:tcPr>
          <w:p w:rsidR="004C3830" w:rsidRPr="00DA39DF" w:rsidRDefault="00DA39DF" w:rsidP="004C38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Фондовый рынок МБ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4C3830" w:rsidRDefault="004C3830" w:rsidP="00FE4B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483E8B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от стоимости Имущества клиента, </w:t>
            </w:r>
            <w:r w:rsidR="002744F4">
              <w:rPr>
                <w:rFonts w:ascii="Times New Roman" w:hAnsi="Times New Roman" w:cs="Times New Roman"/>
                <w:sz w:val="24"/>
                <w:szCs w:val="24"/>
              </w:rPr>
              <w:t xml:space="preserve">находящегося на всех лицевых счетах,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рассчитанной на отчетную дату</w:t>
            </w:r>
            <w:r w:rsidR="002744F4">
              <w:rPr>
                <w:rFonts w:ascii="Times New Roman" w:hAnsi="Times New Roman" w:cs="Times New Roman"/>
                <w:sz w:val="24"/>
                <w:szCs w:val="24"/>
              </w:rPr>
              <w:t xml:space="preserve"> или на дату вывода Имущества в сторонние депозитарии и кредитные организации.</w:t>
            </w:r>
          </w:p>
          <w:p w:rsidR="00FE4BC8" w:rsidRDefault="00FE4BC8" w:rsidP="00FE4B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BC8" w:rsidRPr="00FE4BC8" w:rsidRDefault="00FE4BC8" w:rsidP="00FE4B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2500 руб. за квартал.</w:t>
            </w:r>
          </w:p>
        </w:tc>
        <w:tc>
          <w:tcPr>
            <w:tcW w:w="3339" w:type="dxa"/>
            <w:tcBorders>
              <w:bottom w:val="single" w:sz="4" w:space="0" w:color="auto"/>
            </w:tcBorders>
          </w:tcPr>
          <w:p w:rsidR="001905A7" w:rsidRDefault="004C3830" w:rsidP="001905A7">
            <w:pPr>
              <w:pStyle w:val="a4"/>
              <w:numPr>
                <w:ilvl w:val="0"/>
                <w:numId w:val="5"/>
              </w:numPr>
              <w:ind w:left="1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5A7">
              <w:rPr>
                <w:rFonts w:ascii="Times New Roman" w:hAnsi="Times New Roman" w:cs="Times New Roman"/>
                <w:sz w:val="24"/>
                <w:szCs w:val="24"/>
              </w:rPr>
              <w:t xml:space="preserve">Рассчитывается </w:t>
            </w:r>
            <w:r w:rsidR="001905A7" w:rsidRPr="001905A7">
              <w:rPr>
                <w:rFonts w:ascii="Times New Roman" w:hAnsi="Times New Roman" w:cs="Times New Roman"/>
                <w:sz w:val="24"/>
                <w:szCs w:val="24"/>
              </w:rPr>
              <w:t>от стоимости Имущества Клиента по состоянию на дату окончания квартала</w:t>
            </w:r>
            <w:r w:rsidR="001905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905A7" w:rsidRPr="00190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5A7">
              <w:rPr>
                <w:rFonts w:ascii="Times New Roman" w:hAnsi="Times New Roman" w:cs="Times New Roman"/>
                <w:sz w:val="24"/>
                <w:szCs w:val="24"/>
              </w:rPr>
              <w:t>взимается ежеквартально</w:t>
            </w:r>
            <w:r w:rsidR="00BF31D5">
              <w:rPr>
                <w:rFonts w:ascii="Times New Roman" w:hAnsi="Times New Roman" w:cs="Times New Roman"/>
                <w:sz w:val="24"/>
                <w:szCs w:val="24"/>
              </w:rPr>
              <w:t xml:space="preserve"> в срок не позднее 5 (пять) рабочих дней с даты </w:t>
            </w:r>
            <w:r w:rsidR="00094DE8">
              <w:rPr>
                <w:rFonts w:ascii="Times New Roman" w:hAnsi="Times New Roman" w:cs="Times New Roman"/>
                <w:sz w:val="24"/>
                <w:szCs w:val="24"/>
              </w:rPr>
              <w:t>окончания квартала.</w:t>
            </w:r>
          </w:p>
          <w:p w:rsidR="00E80ADB" w:rsidRDefault="00E80ADB" w:rsidP="00E80ADB">
            <w:pPr>
              <w:pStyle w:val="a4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830" w:rsidRPr="001905A7" w:rsidRDefault="00E80ADB" w:rsidP="001905A7">
            <w:pPr>
              <w:pStyle w:val="a4"/>
              <w:numPr>
                <w:ilvl w:val="0"/>
                <w:numId w:val="5"/>
              </w:numPr>
              <w:ind w:left="1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4BC8">
              <w:rPr>
                <w:rFonts w:ascii="Times New Roman" w:hAnsi="Times New Roman" w:cs="Times New Roman"/>
                <w:sz w:val="24"/>
                <w:szCs w:val="24"/>
              </w:rPr>
              <w:t>При выводе Имущества –</w:t>
            </w:r>
            <w:r w:rsidR="001905A7" w:rsidRPr="001905A7">
              <w:rPr>
                <w:rFonts w:ascii="Times New Roman" w:hAnsi="Times New Roman" w:cs="Times New Roman"/>
                <w:sz w:val="24"/>
                <w:szCs w:val="24"/>
              </w:rPr>
              <w:t xml:space="preserve"> рассчитывается от стоимости Имущества, подлежащего выводу с Брокерского/Лицевого счета/счета депо Клиента</w:t>
            </w:r>
            <w:r w:rsidR="001905A7">
              <w:rPr>
                <w:rFonts w:ascii="Times New Roman" w:hAnsi="Times New Roman" w:cs="Times New Roman"/>
                <w:sz w:val="24"/>
                <w:szCs w:val="24"/>
              </w:rPr>
              <w:t>; взимается в срок не позднее двух рабочих дней с даты вывода Имущества</w:t>
            </w:r>
          </w:p>
        </w:tc>
      </w:tr>
      <w:tr w:rsidR="00412709" w:rsidTr="00B66EC2">
        <w:trPr>
          <w:trHeight w:val="274"/>
        </w:trPr>
        <w:tc>
          <w:tcPr>
            <w:tcW w:w="9585" w:type="dxa"/>
            <w:gridSpan w:val="3"/>
            <w:shd w:val="clear" w:color="auto" w:fill="auto"/>
          </w:tcPr>
          <w:p w:rsidR="00412709" w:rsidRPr="008A170F" w:rsidRDefault="00412709" w:rsidP="00412709">
            <w:pPr>
              <w:contextualSpacing/>
              <w:jc w:val="center"/>
              <w:rPr>
                <w:rFonts w:ascii="Times New Roman" w:hAnsi="Times New Roman" w:cs="Times New Roman"/>
                <w:b/>
                <w:color w:val="993366"/>
                <w:sz w:val="24"/>
                <w:szCs w:val="24"/>
              </w:rPr>
            </w:pPr>
            <w:r w:rsidRPr="008A170F">
              <w:rPr>
                <w:rFonts w:ascii="Times New Roman" w:hAnsi="Times New Roman" w:cs="Times New Roman"/>
                <w:b/>
                <w:color w:val="993366"/>
                <w:sz w:val="24"/>
                <w:szCs w:val="24"/>
              </w:rPr>
              <w:t>Фондовый рынок</w:t>
            </w:r>
          </w:p>
        </w:tc>
      </w:tr>
      <w:tr w:rsidR="00412709" w:rsidTr="00B66EC2">
        <w:trPr>
          <w:trHeight w:val="286"/>
        </w:trPr>
        <w:tc>
          <w:tcPr>
            <w:tcW w:w="3174" w:type="dxa"/>
          </w:tcPr>
          <w:p w:rsidR="00412709" w:rsidRDefault="00BF31D5" w:rsidP="0041270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12709">
              <w:rPr>
                <w:rFonts w:ascii="Times New Roman" w:hAnsi="Times New Roman" w:cs="Times New Roman"/>
                <w:sz w:val="24"/>
                <w:szCs w:val="24"/>
              </w:rPr>
              <w:t>упля/продажа</w:t>
            </w:r>
          </w:p>
        </w:tc>
        <w:tc>
          <w:tcPr>
            <w:tcW w:w="3071" w:type="dxa"/>
          </w:tcPr>
          <w:p w:rsidR="00412709" w:rsidRDefault="004C3830" w:rsidP="0041270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12709">
              <w:rPr>
                <w:rFonts w:ascii="Times New Roman" w:hAnsi="Times New Roman" w:cs="Times New Roman"/>
                <w:sz w:val="24"/>
                <w:szCs w:val="24"/>
              </w:rPr>
              <w:t>% от оборота</w:t>
            </w:r>
          </w:p>
        </w:tc>
        <w:tc>
          <w:tcPr>
            <w:tcW w:w="3339" w:type="dxa"/>
          </w:tcPr>
          <w:p w:rsidR="00412709" w:rsidRDefault="00483E8B" w:rsidP="00483E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Список инструментов</w:t>
            </w:r>
            <w:r w:rsidR="00393A1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412709" w:rsidTr="00B66EC2">
        <w:trPr>
          <w:trHeight w:val="573"/>
        </w:trPr>
        <w:tc>
          <w:tcPr>
            <w:tcW w:w="3174" w:type="dxa"/>
            <w:tcBorders>
              <w:bottom w:val="single" w:sz="4" w:space="0" w:color="auto"/>
            </w:tcBorders>
          </w:tcPr>
          <w:p w:rsidR="00412709" w:rsidRDefault="00412709" w:rsidP="0041270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РЕПО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412709" w:rsidRDefault="004C3830" w:rsidP="0041270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12709">
              <w:rPr>
                <w:rFonts w:ascii="Times New Roman" w:hAnsi="Times New Roman" w:cs="Times New Roman"/>
                <w:sz w:val="24"/>
                <w:szCs w:val="24"/>
              </w:rPr>
              <w:t>% от оборота по первым частям РЕПО</w:t>
            </w:r>
          </w:p>
        </w:tc>
        <w:tc>
          <w:tcPr>
            <w:tcW w:w="3339" w:type="dxa"/>
            <w:tcBorders>
              <w:bottom w:val="single" w:sz="4" w:space="0" w:color="auto"/>
            </w:tcBorders>
          </w:tcPr>
          <w:p w:rsidR="00412709" w:rsidRDefault="00483E8B" w:rsidP="00483E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Список инструментов</w:t>
            </w:r>
            <w:r w:rsidR="00393A1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412709" w:rsidTr="00B66EC2">
        <w:trPr>
          <w:trHeight w:val="286"/>
        </w:trPr>
        <w:tc>
          <w:tcPr>
            <w:tcW w:w="9585" w:type="dxa"/>
            <w:gridSpan w:val="3"/>
            <w:shd w:val="clear" w:color="auto" w:fill="auto"/>
          </w:tcPr>
          <w:p w:rsidR="00412709" w:rsidRDefault="00412709" w:rsidP="0041270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0F">
              <w:rPr>
                <w:rFonts w:ascii="Times New Roman" w:hAnsi="Times New Roman" w:cs="Times New Roman"/>
                <w:b/>
                <w:color w:val="993366"/>
                <w:sz w:val="24"/>
                <w:szCs w:val="24"/>
              </w:rPr>
              <w:t>Внебиржевой рынок</w:t>
            </w:r>
          </w:p>
        </w:tc>
      </w:tr>
      <w:tr w:rsidR="00412709" w:rsidTr="00B66EC2">
        <w:trPr>
          <w:trHeight w:val="286"/>
        </w:trPr>
        <w:tc>
          <w:tcPr>
            <w:tcW w:w="3174" w:type="dxa"/>
          </w:tcPr>
          <w:p w:rsidR="00412709" w:rsidRDefault="00BF31D5" w:rsidP="0041270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12709">
              <w:rPr>
                <w:rFonts w:ascii="Times New Roman" w:hAnsi="Times New Roman" w:cs="Times New Roman"/>
                <w:sz w:val="24"/>
                <w:szCs w:val="24"/>
              </w:rPr>
              <w:t>упля/продажа</w:t>
            </w:r>
          </w:p>
        </w:tc>
        <w:tc>
          <w:tcPr>
            <w:tcW w:w="3071" w:type="dxa"/>
          </w:tcPr>
          <w:p w:rsidR="00412709" w:rsidRDefault="004C3830" w:rsidP="0041270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12709">
              <w:rPr>
                <w:rFonts w:ascii="Times New Roman" w:hAnsi="Times New Roman" w:cs="Times New Roman"/>
                <w:sz w:val="24"/>
                <w:szCs w:val="24"/>
              </w:rPr>
              <w:t>% от оборота</w:t>
            </w:r>
          </w:p>
        </w:tc>
        <w:tc>
          <w:tcPr>
            <w:tcW w:w="3339" w:type="dxa"/>
          </w:tcPr>
          <w:p w:rsidR="00412709" w:rsidRDefault="00483E8B" w:rsidP="00483E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Список инструментов</w:t>
            </w:r>
            <w:r w:rsidR="00393A1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:rsidR="00412709" w:rsidRDefault="0041270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83E8B" w:rsidRDefault="00393A19" w:rsidP="00393A1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483E8B">
        <w:rPr>
          <w:rFonts w:ascii="Times New Roman" w:hAnsi="Times New Roman" w:cs="Times New Roman"/>
          <w:sz w:val="24"/>
          <w:szCs w:val="24"/>
        </w:rPr>
        <w:t>Список инструментов:</w:t>
      </w:r>
    </w:p>
    <w:p w:rsidR="00483E8B" w:rsidRPr="00483E8B" w:rsidRDefault="00483E8B" w:rsidP="00483E8B">
      <w:pPr>
        <w:contextualSpacing/>
        <w:rPr>
          <w:rFonts w:ascii="Times New Roman" w:hAnsi="Times New Roman" w:cs="Times New Roman"/>
          <w:sz w:val="24"/>
          <w:szCs w:val="24"/>
        </w:rPr>
      </w:pPr>
      <w:r w:rsidRPr="00483E8B">
        <w:rPr>
          <w:rFonts w:ascii="Times New Roman" w:hAnsi="Times New Roman" w:cs="Times New Roman"/>
          <w:sz w:val="24"/>
          <w:szCs w:val="24"/>
        </w:rPr>
        <w:t>Облигации и биржевые облигации следующих эмитентов:</w:t>
      </w:r>
    </w:p>
    <w:p w:rsidR="00483E8B" w:rsidRPr="00483E8B" w:rsidRDefault="00483E8B" w:rsidP="00483E8B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83E8B">
        <w:rPr>
          <w:rFonts w:ascii="Times New Roman" w:hAnsi="Times New Roman" w:cs="Times New Roman"/>
          <w:sz w:val="24"/>
          <w:szCs w:val="24"/>
        </w:rPr>
        <w:t>АКБ «Держава» ПАО</w:t>
      </w:r>
      <w:r w:rsidR="00CB609A">
        <w:rPr>
          <w:rFonts w:ascii="Times New Roman" w:hAnsi="Times New Roman" w:cs="Times New Roman"/>
          <w:sz w:val="24"/>
          <w:szCs w:val="24"/>
        </w:rPr>
        <w:t xml:space="preserve"> (ИНН </w:t>
      </w:r>
      <w:r w:rsidR="00CB609A" w:rsidRPr="002A7E83">
        <w:rPr>
          <w:rFonts w:ascii="Times New Roman" w:hAnsi="Times New Roman" w:cs="Times New Roman"/>
          <w:sz w:val="24"/>
          <w:szCs w:val="24"/>
        </w:rPr>
        <w:t>7729003482</w:t>
      </w:r>
      <w:r w:rsidR="00CB609A">
        <w:rPr>
          <w:rFonts w:ascii="Times New Roman" w:hAnsi="Times New Roman" w:cs="Times New Roman"/>
          <w:sz w:val="24"/>
          <w:szCs w:val="24"/>
        </w:rPr>
        <w:t>)</w:t>
      </w:r>
    </w:p>
    <w:p w:rsidR="00483E8B" w:rsidRPr="00483E8B" w:rsidRDefault="00483E8B" w:rsidP="00483E8B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83E8B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483E8B">
        <w:rPr>
          <w:rFonts w:ascii="Times New Roman" w:hAnsi="Times New Roman" w:cs="Times New Roman"/>
          <w:sz w:val="24"/>
          <w:szCs w:val="24"/>
        </w:rPr>
        <w:t>Финанс</w:t>
      </w:r>
      <w:proofErr w:type="spellEnd"/>
      <w:r w:rsidRPr="00483E8B">
        <w:rPr>
          <w:rFonts w:ascii="Times New Roman" w:hAnsi="Times New Roman" w:cs="Times New Roman"/>
          <w:sz w:val="24"/>
          <w:szCs w:val="24"/>
        </w:rPr>
        <w:t>-менеджмент»</w:t>
      </w:r>
      <w:r w:rsidR="0015113C">
        <w:rPr>
          <w:rFonts w:ascii="Times New Roman" w:hAnsi="Times New Roman" w:cs="Times New Roman"/>
          <w:sz w:val="24"/>
          <w:szCs w:val="24"/>
        </w:rPr>
        <w:t xml:space="preserve"> (ИНН</w:t>
      </w:r>
      <w:r w:rsidR="00BF31D5">
        <w:rPr>
          <w:rFonts w:ascii="Times New Roman" w:hAnsi="Times New Roman" w:cs="Times New Roman"/>
          <w:sz w:val="24"/>
          <w:szCs w:val="24"/>
        </w:rPr>
        <w:t xml:space="preserve"> </w:t>
      </w:r>
      <w:r w:rsidR="00A01B88" w:rsidRPr="002B31A4">
        <w:rPr>
          <w:rFonts w:ascii="Times New Roman" w:eastAsia="Calibri" w:hAnsi="Times New Roman" w:cs="Times New Roman"/>
        </w:rPr>
        <w:t>7704788976</w:t>
      </w:r>
      <w:r w:rsidR="0015113C">
        <w:rPr>
          <w:rFonts w:ascii="Times New Roman" w:hAnsi="Times New Roman" w:cs="Times New Roman"/>
          <w:sz w:val="24"/>
          <w:szCs w:val="24"/>
        </w:rPr>
        <w:t>)</w:t>
      </w:r>
    </w:p>
    <w:p w:rsidR="00483E8B" w:rsidRPr="00483E8B" w:rsidRDefault="00483E8B" w:rsidP="00483E8B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83E8B">
        <w:rPr>
          <w:rFonts w:ascii="Times New Roman" w:hAnsi="Times New Roman" w:cs="Times New Roman"/>
          <w:sz w:val="24"/>
          <w:szCs w:val="24"/>
        </w:rPr>
        <w:t>ООО «Держава-Платформа»</w:t>
      </w:r>
      <w:r w:rsidR="0015113C">
        <w:rPr>
          <w:rFonts w:ascii="Times New Roman" w:hAnsi="Times New Roman" w:cs="Times New Roman"/>
          <w:sz w:val="24"/>
          <w:szCs w:val="24"/>
        </w:rPr>
        <w:t xml:space="preserve"> (ИНН</w:t>
      </w:r>
      <w:r w:rsidR="00BF31D5">
        <w:rPr>
          <w:rFonts w:ascii="Times New Roman" w:hAnsi="Times New Roman" w:cs="Times New Roman"/>
          <w:sz w:val="24"/>
          <w:szCs w:val="24"/>
        </w:rPr>
        <w:t xml:space="preserve"> </w:t>
      </w:r>
      <w:r w:rsidR="00A01B88" w:rsidRPr="002B31A4">
        <w:rPr>
          <w:rFonts w:ascii="Times New Roman" w:eastAsia="Calibri" w:hAnsi="Times New Roman" w:cs="Times New Roman"/>
        </w:rPr>
        <w:t>7704860781</w:t>
      </w:r>
      <w:r w:rsidR="0015113C">
        <w:rPr>
          <w:rFonts w:ascii="Times New Roman" w:hAnsi="Times New Roman" w:cs="Times New Roman"/>
          <w:sz w:val="24"/>
          <w:szCs w:val="24"/>
        </w:rPr>
        <w:t>)</w:t>
      </w:r>
    </w:p>
    <w:sectPr w:rsidR="00483E8B" w:rsidRPr="00483E8B" w:rsidSect="00B66EC2">
      <w:headerReference w:type="default" r:id="rId9"/>
      <w:footerReference w:type="default" r:id="rId10"/>
      <w:pgSz w:w="11906" w:h="16838"/>
      <w:pgMar w:top="868" w:right="1133" w:bottom="1134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BAC" w:rsidRDefault="000A4BAC" w:rsidP="00393A19">
      <w:pPr>
        <w:spacing w:after="0" w:line="240" w:lineRule="auto"/>
      </w:pPr>
      <w:r>
        <w:separator/>
      </w:r>
    </w:p>
  </w:endnote>
  <w:endnote w:type="continuationSeparator" w:id="0">
    <w:p w:rsidR="000A4BAC" w:rsidRDefault="000A4BAC" w:rsidP="00393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3453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A4BAC" w:rsidRPr="00393A19" w:rsidRDefault="009845F6">
        <w:pPr>
          <w:pStyle w:val="ae"/>
          <w:jc w:val="center"/>
          <w:rPr>
            <w:rFonts w:ascii="Times New Roman" w:hAnsi="Times New Roman" w:cs="Times New Roman"/>
          </w:rPr>
        </w:pPr>
        <w:r w:rsidRPr="00393A19">
          <w:rPr>
            <w:rFonts w:ascii="Times New Roman" w:hAnsi="Times New Roman" w:cs="Times New Roman"/>
          </w:rPr>
          <w:fldChar w:fldCharType="begin"/>
        </w:r>
        <w:r w:rsidR="000A4BAC" w:rsidRPr="00393A19">
          <w:rPr>
            <w:rFonts w:ascii="Times New Roman" w:hAnsi="Times New Roman" w:cs="Times New Roman"/>
          </w:rPr>
          <w:instrText xml:space="preserve"> PAGE   \* MERGEFORMAT </w:instrText>
        </w:r>
        <w:r w:rsidRPr="00393A19">
          <w:rPr>
            <w:rFonts w:ascii="Times New Roman" w:hAnsi="Times New Roman" w:cs="Times New Roman"/>
          </w:rPr>
          <w:fldChar w:fldCharType="separate"/>
        </w:r>
        <w:r w:rsidR="00927042">
          <w:rPr>
            <w:rFonts w:ascii="Times New Roman" w:hAnsi="Times New Roman" w:cs="Times New Roman"/>
            <w:noProof/>
          </w:rPr>
          <w:t>1</w:t>
        </w:r>
        <w:r w:rsidRPr="00393A19">
          <w:rPr>
            <w:rFonts w:ascii="Times New Roman" w:hAnsi="Times New Roman" w:cs="Times New Roman"/>
          </w:rPr>
          <w:fldChar w:fldCharType="end"/>
        </w:r>
      </w:p>
    </w:sdtContent>
  </w:sdt>
  <w:p w:rsidR="000A4BAC" w:rsidRDefault="000A4BA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BAC" w:rsidRDefault="000A4BAC" w:rsidP="00393A19">
      <w:pPr>
        <w:spacing w:after="0" w:line="240" w:lineRule="auto"/>
      </w:pPr>
      <w:r>
        <w:separator/>
      </w:r>
    </w:p>
  </w:footnote>
  <w:footnote w:type="continuationSeparator" w:id="0">
    <w:p w:rsidR="000A4BAC" w:rsidRDefault="000A4BAC" w:rsidP="00393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6"/>
      <w:gridCol w:w="4786"/>
    </w:tblGrid>
    <w:tr w:rsidR="000A4BAC" w:rsidRPr="00393A19" w:rsidTr="00393A19">
      <w:trPr>
        <w:trHeight w:val="838"/>
      </w:trPr>
      <w:tc>
        <w:tcPr>
          <w:tcW w:w="4786" w:type="dxa"/>
        </w:tcPr>
        <w:p w:rsidR="000A4BAC" w:rsidRPr="00393A19" w:rsidRDefault="000A4BAC" w:rsidP="00393A19">
          <w:pPr>
            <w:contextualSpacing/>
            <w:rPr>
              <w:rFonts w:ascii="Times New Roman" w:hAnsi="Times New Roman" w:cs="Times New Roman"/>
              <w:sz w:val="24"/>
              <w:szCs w:val="24"/>
            </w:rPr>
          </w:pPr>
          <w:r w:rsidRPr="00393A19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>
                <wp:extent cx="1451306" cy="321869"/>
                <wp:effectExtent l="19050" t="0" r="0" b="0"/>
                <wp:docPr id="1" name="Рисунок 1" descr="Держава(эмблемка)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Держава(эмблемка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1578" cy="3219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6" w:type="dxa"/>
        </w:tcPr>
        <w:p w:rsidR="000A4BAC" w:rsidRPr="00393A19" w:rsidRDefault="000A4BAC" w:rsidP="00393A19">
          <w:pPr>
            <w:contextualSpacing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393A19">
            <w:rPr>
              <w:rFonts w:ascii="Times New Roman" w:hAnsi="Times New Roman" w:cs="Times New Roman"/>
              <w:sz w:val="24"/>
              <w:szCs w:val="24"/>
            </w:rPr>
            <w:t xml:space="preserve">Приложение №2 </w:t>
          </w:r>
        </w:p>
        <w:p w:rsidR="000A4BAC" w:rsidRPr="00393A19" w:rsidRDefault="000A4BAC" w:rsidP="00FD472B">
          <w:pPr>
            <w:contextualSpacing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393A19">
            <w:rPr>
              <w:rFonts w:ascii="Times New Roman" w:hAnsi="Times New Roman" w:cs="Times New Roman"/>
              <w:sz w:val="24"/>
              <w:szCs w:val="24"/>
            </w:rPr>
            <w:t xml:space="preserve">к Договору 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на </w:t>
          </w:r>
          <w:r w:rsidRPr="00393A19">
            <w:rPr>
              <w:rFonts w:ascii="Times New Roman" w:hAnsi="Times New Roman" w:cs="Times New Roman"/>
              <w:sz w:val="24"/>
              <w:szCs w:val="24"/>
            </w:rPr>
            <w:t>брокерско</w:t>
          </w:r>
          <w:r>
            <w:rPr>
              <w:rFonts w:ascii="Times New Roman" w:hAnsi="Times New Roman" w:cs="Times New Roman"/>
              <w:sz w:val="24"/>
              <w:szCs w:val="24"/>
            </w:rPr>
            <w:t>е</w:t>
          </w:r>
          <w:r w:rsidRPr="00393A19">
            <w:rPr>
              <w:rFonts w:ascii="Times New Roman" w:hAnsi="Times New Roman" w:cs="Times New Roman"/>
              <w:sz w:val="24"/>
              <w:szCs w:val="24"/>
            </w:rPr>
            <w:t xml:space="preserve"> обслуживани</w:t>
          </w:r>
          <w:r>
            <w:rPr>
              <w:rFonts w:ascii="Times New Roman" w:hAnsi="Times New Roman" w:cs="Times New Roman"/>
              <w:sz w:val="24"/>
              <w:szCs w:val="24"/>
            </w:rPr>
            <w:t>е</w:t>
          </w:r>
          <w:r w:rsidRPr="00393A19">
            <w:rPr>
              <w:rFonts w:ascii="Times New Roman" w:hAnsi="Times New Roman" w:cs="Times New Roman"/>
              <w:sz w:val="24"/>
              <w:szCs w:val="24"/>
            </w:rPr>
            <w:t xml:space="preserve"> АКБ «Держава» ПАО</w:t>
          </w:r>
        </w:p>
      </w:tc>
    </w:tr>
  </w:tbl>
  <w:p w:rsidR="000A4BAC" w:rsidRDefault="000A4BA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66C5C"/>
    <w:multiLevelType w:val="hybridMultilevel"/>
    <w:tmpl w:val="6FAA6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D5E1D"/>
    <w:multiLevelType w:val="hybridMultilevel"/>
    <w:tmpl w:val="AC4C6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141B84"/>
    <w:multiLevelType w:val="hybridMultilevel"/>
    <w:tmpl w:val="B0680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CE6155"/>
    <w:multiLevelType w:val="multilevel"/>
    <w:tmpl w:val="6EF2BC04"/>
    <w:lvl w:ilvl="0">
      <w:start w:val="3"/>
      <w:numFmt w:val="decimal"/>
      <w:pStyle w:val="1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>
    <w:nsid w:val="7AEA3DAA"/>
    <w:multiLevelType w:val="hybridMultilevel"/>
    <w:tmpl w:val="B2341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98D"/>
    <w:rsid w:val="000346AA"/>
    <w:rsid w:val="00062781"/>
    <w:rsid w:val="000672FA"/>
    <w:rsid w:val="000865C1"/>
    <w:rsid w:val="00094DE8"/>
    <w:rsid w:val="000A4BAC"/>
    <w:rsid w:val="000D0EC6"/>
    <w:rsid w:val="00100840"/>
    <w:rsid w:val="0015113C"/>
    <w:rsid w:val="00175DDD"/>
    <w:rsid w:val="001905A7"/>
    <w:rsid w:val="001911B1"/>
    <w:rsid w:val="001E5CD4"/>
    <w:rsid w:val="0021478D"/>
    <w:rsid w:val="00223492"/>
    <w:rsid w:val="00247903"/>
    <w:rsid w:val="002744F4"/>
    <w:rsid w:val="00393A19"/>
    <w:rsid w:val="003B1611"/>
    <w:rsid w:val="003E36D0"/>
    <w:rsid w:val="00412709"/>
    <w:rsid w:val="0044614D"/>
    <w:rsid w:val="00483E8B"/>
    <w:rsid w:val="004C3830"/>
    <w:rsid w:val="004C661F"/>
    <w:rsid w:val="004E4A88"/>
    <w:rsid w:val="00532413"/>
    <w:rsid w:val="005354DE"/>
    <w:rsid w:val="005622D2"/>
    <w:rsid w:val="00584A7A"/>
    <w:rsid w:val="005C26A8"/>
    <w:rsid w:val="0060403A"/>
    <w:rsid w:val="00653AE5"/>
    <w:rsid w:val="006630D4"/>
    <w:rsid w:val="0068367E"/>
    <w:rsid w:val="00693EDB"/>
    <w:rsid w:val="007A7433"/>
    <w:rsid w:val="007B72AB"/>
    <w:rsid w:val="007C4928"/>
    <w:rsid w:val="007E398D"/>
    <w:rsid w:val="00817472"/>
    <w:rsid w:val="00822D84"/>
    <w:rsid w:val="0086225D"/>
    <w:rsid w:val="008656F6"/>
    <w:rsid w:val="008A170F"/>
    <w:rsid w:val="009125E4"/>
    <w:rsid w:val="00927042"/>
    <w:rsid w:val="00954BE3"/>
    <w:rsid w:val="009660DD"/>
    <w:rsid w:val="00966F6C"/>
    <w:rsid w:val="009845F6"/>
    <w:rsid w:val="009C5F73"/>
    <w:rsid w:val="009D275D"/>
    <w:rsid w:val="00A01B88"/>
    <w:rsid w:val="00A935D2"/>
    <w:rsid w:val="00AA22D9"/>
    <w:rsid w:val="00AB4B71"/>
    <w:rsid w:val="00AC4C1F"/>
    <w:rsid w:val="00B073CD"/>
    <w:rsid w:val="00B66EC2"/>
    <w:rsid w:val="00B856A3"/>
    <w:rsid w:val="00BD7C59"/>
    <w:rsid w:val="00BF31D5"/>
    <w:rsid w:val="00C52354"/>
    <w:rsid w:val="00CB609A"/>
    <w:rsid w:val="00CD5089"/>
    <w:rsid w:val="00D51E7B"/>
    <w:rsid w:val="00DA39DF"/>
    <w:rsid w:val="00E36B17"/>
    <w:rsid w:val="00E80ADB"/>
    <w:rsid w:val="00E82097"/>
    <w:rsid w:val="00E9776E"/>
    <w:rsid w:val="00EA3066"/>
    <w:rsid w:val="00EA4947"/>
    <w:rsid w:val="00F02EC7"/>
    <w:rsid w:val="00FC5B8A"/>
    <w:rsid w:val="00FD472B"/>
    <w:rsid w:val="00FE4BC8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5113C"/>
    <w:pPr>
      <w:keepNext/>
      <w:keepLines/>
      <w:widowControl w:val="0"/>
      <w:numPr>
        <w:numId w:val="4"/>
      </w:numPr>
      <w:spacing w:before="240" w:after="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7E398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16"/>
      <w:szCs w:val="20"/>
    </w:rPr>
  </w:style>
  <w:style w:type="table" w:styleId="a3">
    <w:name w:val="Table Grid"/>
    <w:basedOn w:val="a1"/>
    <w:uiPriority w:val="59"/>
    <w:rsid w:val="007E3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661F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8A170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A170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A170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A170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A170F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A1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A170F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393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93A19"/>
  </w:style>
  <w:style w:type="paragraph" w:styleId="ae">
    <w:name w:val="footer"/>
    <w:basedOn w:val="a"/>
    <w:link w:val="af"/>
    <w:uiPriority w:val="99"/>
    <w:unhideWhenUsed/>
    <w:rsid w:val="00393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93A19"/>
  </w:style>
  <w:style w:type="character" w:customStyle="1" w:styleId="10">
    <w:name w:val="Заголовок 1 Знак"/>
    <w:basedOn w:val="a0"/>
    <w:link w:val="1"/>
    <w:rsid w:val="0015113C"/>
    <w:rPr>
      <w:rFonts w:ascii="Times New Roman" w:eastAsia="Times New Roman" w:hAnsi="Times New Roman" w:cs="Times New Roman"/>
      <w:b/>
      <w:caps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5113C"/>
    <w:pPr>
      <w:keepNext/>
      <w:keepLines/>
      <w:widowControl w:val="0"/>
      <w:numPr>
        <w:numId w:val="4"/>
      </w:numPr>
      <w:spacing w:before="240" w:after="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7E398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16"/>
      <w:szCs w:val="20"/>
    </w:rPr>
  </w:style>
  <w:style w:type="table" w:styleId="a3">
    <w:name w:val="Table Grid"/>
    <w:basedOn w:val="a1"/>
    <w:uiPriority w:val="59"/>
    <w:rsid w:val="007E3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661F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8A170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A170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A170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A170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A170F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A1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A170F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393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93A19"/>
  </w:style>
  <w:style w:type="paragraph" w:styleId="ae">
    <w:name w:val="footer"/>
    <w:basedOn w:val="a"/>
    <w:link w:val="af"/>
    <w:uiPriority w:val="99"/>
    <w:unhideWhenUsed/>
    <w:rsid w:val="00393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93A19"/>
  </w:style>
  <w:style w:type="character" w:customStyle="1" w:styleId="10">
    <w:name w:val="Заголовок 1 Знак"/>
    <w:basedOn w:val="a0"/>
    <w:link w:val="1"/>
    <w:rsid w:val="0015113C"/>
    <w:rPr>
      <w:rFonts w:ascii="Times New Roman" w:eastAsia="Times New Roman" w:hAnsi="Times New Roman" w:cs="Times New Roman"/>
      <w:b/>
      <w:caps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882F36-D783-4169-8DDA-121E03A3C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ivzueva</dc:creator>
  <cp:lastModifiedBy>prilepo</cp:lastModifiedBy>
  <cp:revision>3</cp:revision>
  <dcterms:created xsi:type="dcterms:W3CDTF">2018-09-20T10:26:00Z</dcterms:created>
  <dcterms:modified xsi:type="dcterms:W3CDTF">2018-09-27T13:08:00Z</dcterms:modified>
</cp:coreProperties>
</file>