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 xml:space="preserve">Информационный документ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Субординированная облигация российского эмитента</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субординированной облигации российского эмитента.</w:t>
      </w:r>
    </w:p>
    <w:p w:rsidR="00A373A5" w:rsidRDefault="00A373A5" w:rsidP="00A373A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A373A5" w:rsidRDefault="00A373A5" w:rsidP="00A373A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A373A5" w:rsidRDefault="00A373A5" w:rsidP="00A373A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A373A5" w:rsidRDefault="00A373A5" w:rsidP="00A373A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A373A5" w:rsidRDefault="00A373A5" w:rsidP="00A373A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Субординированная облигация предназначена для квалифицированных инвесторов</w:t>
      </w:r>
    </w:p>
    <w:p w:rsidR="00A373A5" w:rsidRDefault="00A373A5" w:rsidP="00A373A5">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субординированной облигации.</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Субординированная облигация </w:t>
      </w:r>
      <w:r>
        <w:rPr>
          <w:rFonts w:ascii="Times New Roman" w:hAnsi="Times New Roman" w:cs="Times New Roman"/>
          <w:sz w:val="24"/>
          <w:szCs w:val="24"/>
        </w:rPr>
        <w:t>российского эмитента</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 xml:space="preserve">это облигация, выпускаемая только кредитными организациями, по которой эмитент имеет право в одностороннем порядке прекратить выплаты </w:t>
      </w:r>
      <w:r>
        <w:rPr>
          <w:rFonts w:ascii="Times New Roman" w:hAnsi="Times New Roman" w:cs="Times New Roman"/>
          <w:sz w:val="24"/>
          <w:szCs w:val="24"/>
        </w:rPr>
        <w:t>в случае снижения</w:t>
      </w:r>
      <w:r>
        <w:rPr>
          <w:rFonts w:ascii="Times New Roman" w:hAnsi="Times New Roman" w:cs="Times New Roman"/>
          <w:color w:val="FF0000"/>
          <w:sz w:val="24"/>
          <w:szCs w:val="24"/>
        </w:rPr>
        <w:t xml:space="preserve"> </w:t>
      </w:r>
      <w:r>
        <w:rPr>
          <w:rFonts w:ascii="Times New Roman" w:hAnsi="Times New Roman" w:cs="Times New Roman"/>
          <w:sz w:val="24"/>
          <w:szCs w:val="24"/>
        </w:rPr>
        <w:t>норматива достаточности собственных средств ниже уровня, определенного Банком России</w:t>
      </w:r>
      <w:r>
        <w:rPr>
          <w:rStyle w:val="a3"/>
          <w:rFonts w:ascii="Times New Roman" w:hAnsi="Times New Roman" w:cs="Times New Roman"/>
          <w:sz w:val="24"/>
          <w:szCs w:val="24"/>
        </w:rPr>
        <w:footnoteReference w:id="1"/>
      </w:r>
      <w:r>
        <w:rPr>
          <w:rFonts w:ascii="Times New Roman" w:hAnsi="Times New Roman" w:cs="Times New Roman"/>
          <w:sz w:val="24"/>
          <w:szCs w:val="24"/>
        </w:rPr>
        <w:t>, Также может быть предусмотрено право эмитента в одностороннем порядке осуществить мену или конвертацию  субординированных облигаций в обыкновенные акции (доли в уставном капитале) кредитной организации – эмитента. В таком случае решение о выпуске субординированных облигаций должно предусматривать коэффициент мены или конвертации, рассчитанный исходя из соотношения рыночной стоимости обыкновенных акций кредитной организации - эмитента (но не ниже их номинальной стоимости) и размера требований владельцев субординированных облигаций.</w:t>
      </w:r>
      <w:r>
        <w:rPr>
          <w:rFonts w:ascii="Times New Roman" w:hAnsi="Times New Roman" w:cs="Times New Roman"/>
          <w:bCs/>
          <w:sz w:val="24"/>
          <w:szCs w:val="24"/>
        </w:rPr>
        <w:t xml:space="preserve">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Все условия погашения и выплат купонов по </w:t>
      </w:r>
      <w:r>
        <w:rPr>
          <w:rFonts w:ascii="Times New Roman" w:hAnsi="Times New Roman" w:cs="Times New Roman"/>
          <w:bCs/>
          <w:sz w:val="24"/>
          <w:szCs w:val="24"/>
        </w:rPr>
        <w:t xml:space="preserve">субординированным облигациям </w:t>
      </w:r>
      <w:r>
        <w:rPr>
          <w:rFonts w:ascii="Times New Roman" w:hAnsi="Times New Roman" w:cs="Times New Roman"/>
          <w:sz w:val="24"/>
          <w:szCs w:val="24"/>
        </w:rPr>
        <w:t xml:space="preserve">определены в эмиссионной документации.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rPr>
        <w:t>Каждая с</w:t>
      </w:r>
      <w:r>
        <w:rPr>
          <w:rFonts w:ascii="Times New Roman" w:hAnsi="Times New Roman" w:cs="Times New Roman"/>
          <w:bCs/>
          <w:sz w:val="24"/>
          <w:szCs w:val="24"/>
        </w:rPr>
        <w:t>убординированная</w:t>
      </w:r>
      <w:r>
        <w:rPr>
          <w:rFonts w:ascii="Times New Roman" w:hAnsi="Times New Roman" w:cs="Times New Roman"/>
          <w:sz w:val="24"/>
          <w:szCs w:val="24"/>
        </w:rPr>
        <w:t xml:space="preserve"> облигация одного выпуска имеет одинаковый объем прав.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lang w:eastAsia="en-US"/>
        </w:rPr>
      </w:pPr>
      <w:r>
        <w:rPr>
          <w:rFonts w:ascii="Times New Roman" w:hAnsi="Times New Roman" w:cs="Times New Roman"/>
          <w:bCs/>
          <w:sz w:val="24"/>
          <w:szCs w:val="24"/>
        </w:rPr>
        <w:lastRenderedPageBreak/>
        <w:t xml:space="preserve">Субординированная облигация </w:t>
      </w:r>
      <w:r>
        <w:rPr>
          <w:rFonts w:ascii="Times New Roman" w:hAnsi="Times New Roman" w:cs="Times New Roman"/>
          <w:sz w:val="24"/>
          <w:szCs w:val="24"/>
        </w:rPr>
        <w:t>имеет номинальную стоимость не менее 10 миллионов рублей (за исключением выпущенных до 28.</w:t>
      </w:r>
      <w:r>
        <w:rPr>
          <w:rFonts w:ascii="Times New Roman" w:hAnsi="Times New Roman" w:cs="Times New Roman"/>
          <w:sz w:val="24"/>
          <w:szCs w:val="24"/>
          <w:lang w:eastAsia="zh-CN"/>
        </w:rPr>
        <w:t xml:space="preserve">12.2018 года) и </w:t>
      </w:r>
      <w:r>
        <w:rPr>
          <w:rFonts w:ascii="Times New Roman" w:hAnsi="Times New Roman" w:cs="Times New Roman"/>
          <w:sz w:val="24"/>
          <w:szCs w:val="24"/>
        </w:rPr>
        <w:t>срок погашения не менее пяти лет (либо не имеет срока погашения).</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Субординированные облигации</w:t>
      </w:r>
      <w:r>
        <w:rPr>
          <w:rFonts w:ascii="Times New Roman" w:hAnsi="Times New Roman" w:cs="Times New Roman"/>
          <w:sz w:val="24"/>
          <w:szCs w:val="24"/>
        </w:rPr>
        <w:t xml:space="preserve">,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общества.</w:t>
      </w:r>
      <w:r>
        <w:rPr>
          <w:rFonts w:ascii="Times New Roman" w:eastAsia="Calibri" w:hAnsi="Times New Roman" w:cs="Times New Roman"/>
          <w:color w:val="FF0000"/>
          <w:sz w:val="24"/>
          <w:szCs w:val="24"/>
        </w:rPr>
        <w:t xml:space="preserve"> </w:t>
      </w:r>
      <w:r>
        <w:rPr>
          <w:rFonts w:ascii="Times New Roman" w:hAnsi="Times New Roman" w:cs="Times New Roman"/>
          <w:sz w:val="24"/>
          <w:szCs w:val="24"/>
        </w:rPr>
        <w:t xml:space="preserve">При ликвидации держатели субординированных облигаций получат возмещение средств в последнюю очередь, пропустив вперед всех других кредиторов, в том числе владельцев иных облигаций общества. В случае несостоятельности (банкротства) кредитной организации - эмитента требования по субординированным облигациям, а также по финансовым санкциям за неисполнение обязательств по субординированным облигациям удовлетворяются после удовлетворения требований всех иных кредиторов. Указанное условие установлено в условиях эмиссии субординированных облигаций.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Владельцы субординированных облигаций участвуют в распределении имущества перед владельцами привилегированных и обыкновенных акций.</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A373A5" w:rsidRPr="00720691"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субординированной облигации) - </w:t>
      </w:r>
      <w:r>
        <w:rPr>
          <w:rFonts w:ascii="Times New Roman" w:hAnsi="Times New Roman" w:cs="Times New Roman"/>
          <w:sz w:val="24"/>
          <w:szCs w:val="24"/>
        </w:rPr>
        <w:t xml:space="preserve">стоимость принадлежащей Вам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может как расти, так и снижаться, и ее рост в прошлом не означает ее роста в будущем. Изменение цены на </w:t>
      </w:r>
      <w:r>
        <w:rPr>
          <w:rFonts w:ascii="Times New Roman" w:hAnsi="Times New Roman" w:cs="Times New Roman"/>
          <w:bCs/>
          <w:sz w:val="24"/>
          <w:szCs w:val="24"/>
        </w:rPr>
        <w:t xml:space="preserve">субординированные облигации </w:t>
      </w:r>
      <w:r>
        <w:rPr>
          <w:rFonts w:ascii="Times New Roman" w:hAnsi="Times New Roman" w:cs="Times New Roman"/>
          <w:sz w:val="24"/>
          <w:szCs w:val="24"/>
        </w:rPr>
        <w:t xml:space="preserve">связано, прежде всего, с изменением процентных ставок на финансовом рынке. Как правило, цена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снижается, если процентные ставки на рынке растут, и наоборот - цена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растет, если процентные ставки снижаются. Также изменение рыночной стоимости </w:t>
      </w:r>
      <w:r>
        <w:rPr>
          <w:rFonts w:ascii="Times New Roman" w:hAnsi="Times New Roman" w:cs="Times New Roman"/>
          <w:bCs/>
          <w:sz w:val="24"/>
          <w:szCs w:val="24"/>
        </w:rPr>
        <w:t xml:space="preserve">субординированных облигаций </w:t>
      </w:r>
      <w:r>
        <w:rPr>
          <w:rFonts w:ascii="Times New Roman" w:hAnsi="Times New Roman" w:cs="Times New Roman"/>
          <w:sz w:val="24"/>
          <w:szCs w:val="24"/>
        </w:rPr>
        <w:t xml:space="preserve">может быть связано с изменением восприятия рынком финансового состояния и платежеспособности кредитной организации - эмитента </w:t>
      </w:r>
      <w:r>
        <w:rPr>
          <w:rFonts w:ascii="Times New Roman" w:hAnsi="Times New Roman" w:cs="Times New Roman"/>
          <w:bCs/>
          <w:sz w:val="24"/>
          <w:szCs w:val="24"/>
        </w:rPr>
        <w:t xml:space="preserve">субординированной </w:t>
      </w:r>
      <w:r>
        <w:rPr>
          <w:rFonts w:ascii="Times New Roman" w:hAnsi="Times New Roman" w:cs="Times New Roman"/>
          <w:sz w:val="24"/>
          <w:szCs w:val="24"/>
        </w:rPr>
        <w:t xml:space="preserve">облигации, в том числе с изменением кредитного рейтинга эмитента (конкретного выпуска облигаций), корпоративными событиями </w:t>
      </w:r>
      <w:r>
        <w:rPr>
          <w:rFonts w:ascii="Times New Roman" w:eastAsia="Calibri" w:hAnsi="Times New Roman" w:cs="Times New Roman"/>
          <w:bCs/>
          <w:sz w:val="24"/>
          <w:szCs w:val="24"/>
        </w:rPr>
        <w:t>и другими обстоятельствами</w:t>
      </w:r>
      <w:r>
        <w:rPr>
          <w:rFonts w:ascii="Times New Roman" w:hAnsi="Times New Roman" w:cs="Times New Roman"/>
          <w:sz w:val="24"/>
          <w:szCs w:val="24"/>
        </w:rPr>
        <w:t xml:space="preserve">.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r>
        <w:rPr>
          <w:rFonts w:ascii="Times New Roman" w:eastAsia="Calibri" w:hAnsi="Times New Roman" w:cs="Times New Roman"/>
          <w:bCs/>
          <w:sz w:val="24"/>
          <w:szCs w:val="24"/>
        </w:rPr>
        <w:t xml:space="preserve">Ликвидность, то есть возможность продать </w:t>
      </w:r>
      <w:r>
        <w:rPr>
          <w:rFonts w:ascii="Times New Roman" w:hAnsi="Times New Roman" w:cs="Times New Roman"/>
          <w:bCs/>
          <w:sz w:val="24"/>
          <w:szCs w:val="24"/>
        </w:rPr>
        <w:t xml:space="preserve">субординированную облигацию </w:t>
      </w:r>
      <w:r>
        <w:rPr>
          <w:rFonts w:ascii="Times New Roman" w:eastAsia="Calibri" w:hAnsi="Times New Roman" w:cs="Times New Roman"/>
          <w:bCs/>
          <w:sz w:val="24"/>
          <w:szCs w:val="24"/>
        </w:rPr>
        <w:t>в любой момент времени без существенного снижения ее стоимости, зависит от спроса и предложения на рынке. С</w:t>
      </w:r>
      <w:r>
        <w:rPr>
          <w:rFonts w:ascii="Times New Roman" w:hAnsi="Times New Roman" w:cs="Times New Roman"/>
          <w:bCs/>
          <w:sz w:val="24"/>
          <w:szCs w:val="24"/>
        </w:rPr>
        <w:t xml:space="preserve">убординированные облигации </w:t>
      </w:r>
      <w:r>
        <w:rPr>
          <w:rFonts w:ascii="Times New Roman" w:eastAsia="Times New Roman" w:hAnsi="Times New Roman" w:cs="Times New Roman"/>
          <w:sz w:val="24"/>
          <w:szCs w:val="24"/>
        </w:rPr>
        <w:t xml:space="preserve">могут иметь низкую ликвидность, то есть из-за специфики инструмента и повышенных требований к </w:t>
      </w:r>
      <w:r>
        <w:rPr>
          <w:rFonts w:ascii="Times New Roman" w:eastAsia="Times New Roman" w:hAnsi="Times New Roman" w:cs="Times New Roman"/>
          <w:sz w:val="24"/>
          <w:szCs w:val="24"/>
        </w:rPr>
        <w:lastRenderedPageBreak/>
        <w:t>инвесторам бывает сложно найти покупателя</w:t>
      </w:r>
      <w:r>
        <w:rPr>
          <w:rFonts w:ascii="Times New Roman" w:eastAsia="Calibri" w:hAnsi="Times New Roman" w:cs="Times New Roman"/>
          <w:bCs/>
          <w:sz w:val="24"/>
          <w:szCs w:val="24"/>
        </w:rPr>
        <w:t>. С</w:t>
      </w:r>
      <w:r>
        <w:rPr>
          <w:rFonts w:ascii="Times New Roman" w:hAnsi="Times New Roman" w:cs="Times New Roman"/>
          <w:bCs/>
          <w:sz w:val="24"/>
          <w:szCs w:val="24"/>
        </w:rPr>
        <w:t xml:space="preserve">убординированные облигации могут </w:t>
      </w:r>
      <w:r>
        <w:rPr>
          <w:rFonts w:ascii="Times New Roman" w:eastAsia="Calibri" w:hAnsi="Times New Roman" w:cs="Times New Roman"/>
          <w:bCs/>
          <w:sz w:val="24"/>
          <w:szCs w:val="24"/>
        </w:rPr>
        <w:t xml:space="preserve">обращаться на организованном и неорганизованном рынке. В определенный момент Вы можете столкнуться с невозможностью продать свои субординированные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субординированных облигаций могут являться: информация о снижении </w:t>
      </w:r>
      <w:r>
        <w:rPr>
          <w:rFonts w:ascii="Times New Roman" w:hAnsi="Times New Roman" w:cs="Times New Roman"/>
          <w:sz w:val="24"/>
          <w:szCs w:val="24"/>
        </w:rPr>
        <w:t xml:space="preserve">кредитного рейтинга эмитента, о неустойчивом финансовом положении, </w:t>
      </w:r>
      <w:r>
        <w:rPr>
          <w:rFonts w:ascii="Times New Roman" w:eastAsia="Calibri" w:hAnsi="Times New Roman" w:cs="Times New Roman"/>
          <w:bCs/>
          <w:sz w:val="24"/>
          <w:szCs w:val="24"/>
        </w:rPr>
        <w:t xml:space="preserve">негативные корпоративные события, </w:t>
      </w:r>
      <w:r>
        <w:rPr>
          <w:rFonts w:ascii="Times New Roman" w:hAnsi="Times New Roman" w:cs="Times New Roman"/>
          <w:sz w:val="24"/>
          <w:szCs w:val="24"/>
        </w:rPr>
        <w:t xml:space="preserve">снижение доверия к эмитенту, потеря репутации </w:t>
      </w:r>
      <w:r>
        <w:rPr>
          <w:rFonts w:ascii="Times New Roman" w:eastAsia="Calibri" w:hAnsi="Times New Roman" w:cs="Times New Roman"/>
          <w:bCs/>
          <w:sz w:val="24"/>
          <w:szCs w:val="24"/>
        </w:rPr>
        <w:t>и другие обстоятельства.</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 xml:space="preserve">своих обязательств, который может реализоваться, в частности, в виде пропуска или задержки выплаты купонов и (или) погашения номинальной стоимости субординированной облигации. </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 xml:space="preserve">Ситуация, при которой эмитент не в состоянии выплатить владельцам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 xml:space="preserve">сумму погашения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субординированных облигаций), тем выше, по мнению кредитного рейтингового агентства, вероятность дефолта.</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Несмотря на то, что в случае банкротства выплаты оставшегося имущества эмитента производятся владельцам </w:t>
      </w:r>
      <w:r>
        <w:rPr>
          <w:rFonts w:ascii="Times New Roman" w:eastAsia="Calibri" w:hAnsi="Times New Roman" w:cs="Times New Roman"/>
          <w:bCs/>
          <w:sz w:val="24"/>
          <w:szCs w:val="24"/>
        </w:rPr>
        <w:t>с</w:t>
      </w:r>
      <w:r>
        <w:rPr>
          <w:rFonts w:ascii="Times New Roman" w:hAnsi="Times New Roman" w:cs="Times New Roman"/>
          <w:bCs/>
          <w:sz w:val="24"/>
          <w:szCs w:val="24"/>
        </w:rPr>
        <w:t xml:space="preserve">убординированных облигаций </w:t>
      </w:r>
      <w:r>
        <w:rPr>
          <w:rFonts w:ascii="Times New Roman" w:eastAsia="Calibri" w:hAnsi="Times New Roman" w:cs="Times New Roman"/>
          <w:sz w:val="24"/>
          <w:szCs w:val="24"/>
        </w:rPr>
        <w:t xml:space="preserve">перед владельцами привилегированных и обыкновенных акций, имущества может быть недостаточно для выплат по субординированным облигациям. В результате </w:t>
      </w:r>
      <w:r>
        <w:rPr>
          <w:rFonts w:ascii="Times New Roman" w:eastAsia="Calibri" w:hAnsi="Times New Roman" w:cs="Times New Roman"/>
          <w:bCs/>
          <w:sz w:val="24"/>
          <w:szCs w:val="24"/>
        </w:rPr>
        <w:t>Вы можете потерять все свои вложения в с</w:t>
      </w:r>
      <w:r>
        <w:rPr>
          <w:rFonts w:ascii="Times New Roman" w:hAnsi="Times New Roman" w:cs="Times New Roman"/>
          <w:bCs/>
          <w:sz w:val="24"/>
          <w:szCs w:val="24"/>
        </w:rPr>
        <w:t>убординированные облигации</w:t>
      </w:r>
      <w:r>
        <w:rPr>
          <w:rFonts w:ascii="Times New Roman" w:eastAsia="Calibri" w:hAnsi="Times New Roman" w:cs="Times New Roman"/>
          <w:bCs/>
          <w:sz w:val="24"/>
          <w:szCs w:val="24"/>
        </w:rPr>
        <w:t>.</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Способность эмитента в полном объеме выполнять свои обязательства по субординированным облигациям подтверждается, например, высоким кредитным </w:t>
      </w:r>
      <w:r>
        <w:rPr>
          <w:rFonts w:ascii="Times New Roman" w:hAnsi="Times New Roman" w:cs="Times New Roman"/>
          <w:sz w:val="24"/>
          <w:szCs w:val="24"/>
        </w:rPr>
        <w:lastRenderedPageBreak/>
        <w:t>рейтингом эмитента, его устойчивым финансовым положением и т.д. При покупке субординированных облигаций Вам следует обратить внимание на финансовую устойчивость и добросовестность эмитента.</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 </w:t>
      </w:r>
      <w:r>
        <w:rPr>
          <w:rFonts w:ascii="Times New Roman" w:hAnsi="Times New Roman" w:cs="Times New Roman"/>
          <w:sz w:val="24"/>
          <w:szCs w:val="24"/>
        </w:rPr>
        <w:t xml:space="preserve">субординированным облигациям российских эмитентов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субординированную облигацию.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roofErr w:type="gramStart"/>
      <w:r>
        <w:rPr>
          <w:rFonts w:ascii="Times New Roman" w:hAnsi="Times New Roman" w:cs="Times New Roman"/>
          <w:sz w:val="24"/>
          <w:szCs w:val="24"/>
        </w:rPr>
        <w:t>При покупке</w:t>
      </w:r>
      <w:proofErr w:type="gramEnd"/>
      <w:r>
        <w:rPr>
          <w:rFonts w:ascii="Times New Roman" w:hAnsi="Times New Roman" w:cs="Times New Roman"/>
          <w:sz w:val="24"/>
          <w:szCs w:val="24"/>
        </w:rPr>
        <w:t xml:space="preserve"> обращающейся на рынке субординированной облигации в сумму сделки включается часть купонного процентного дохода по субординированной облигации, рассчитываемая пропорционально количеству дней, прошедших от даты предыдущей выплаты купонного дохода до даты исполнения сделки купли-продажи субординированной облигации. Данный накопленный купонный доход передается продавцу субординированной облигации.</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A373A5" w:rsidRDefault="00A373A5" w:rsidP="00A373A5">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A373A5" w:rsidRDefault="00A373A5" w:rsidP="00A373A5">
      <w:pPr>
        <w:spacing w:after="0" w:line="360" w:lineRule="auto"/>
        <w:ind w:firstLine="567"/>
        <w:jc w:val="both"/>
        <w:rPr>
          <w:rFonts w:ascii="Times New Roman" w:hAnsi="Times New Roman" w:cs="Times New Roman"/>
          <w:sz w:val="24"/>
          <w:szCs w:val="24"/>
        </w:rPr>
      </w:pPr>
    </w:p>
    <w:p w:rsidR="00921BDE" w:rsidRDefault="00921BDE"/>
    <w:sectPr w:rsidR="00921B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3A5" w:rsidRDefault="00A373A5" w:rsidP="00A373A5">
      <w:pPr>
        <w:spacing w:after="0" w:line="240" w:lineRule="auto"/>
      </w:pPr>
      <w:r>
        <w:separator/>
      </w:r>
    </w:p>
  </w:endnote>
  <w:endnote w:type="continuationSeparator" w:id="0">
    <w:p w:rsidR="00A373A5" w:rsidRDefault="00A373A5" w:rsidP="00A3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3A5" w:rsidRDefault="00A373A5" w:rsidP="00A373A5">
      <w:pPr>
        <w:spacing w:after="0" w:line="240" w:lineRule="auto"/>
      </w:pPr>
      <w:r>
        <w:separator/>
      </w:r>
    </w:p>
  </w:footnote>
  <w:footnote w:type="continuationSeparator" w:id="0">
    <w:p w:rsidR="00A373A5" w:rsidRDefault="00A373A5" w:rsidP="00A373A5">
      <w:pPr>
        <w:spacing w:after="0" w:line="240" w:lineRule="auto"/>
      </w:pPr>
      <w:r>
        <w:continuationSeparator/>
      </w:r>
    </w:p>
  </w:footnote>
  <w:footnote w:id="1">
    <w:p w:rsidR="00A373A5" w:rsidRDefault="00A373A5" w:rsidP="00A373A5">
      <w:pPr>
        <w:autoSpaceDE w:val="0"/>
        <w:autoSpaceDN w:val="0"/>
        <w:adjustRightInd w:val="0"/>
        <w:spacing w:after="0" w:line="240" w:lineRule="auto"/>
        <w:jc w:val="both"/>
      </w:pPr>
      <w:r>
        <w:rPr>
          <w:rStyle w:val="a3"/>
        </w:rPr>
        <w:footnoteRef/>
      </w:r>
      <w:r>
        <w:t xml:space="preserve"> </w:t>
      </w:r>
      <w:r>
        <w:rPr>
          <w:rFonts w:ascii="Times New Roman" w:hAnsi="Times New Roman" w:cs="Times New Roman"/>
        </w:rPr>
        <w:t>Федеральный закон от 10.07.2002 № 86-ФЗ «О Центральном банке Российской Федерации (Банке России)», ст. 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A5"/>
    <w:rsid w:val="00921BDE"/>
    <w:rsid w:val="00A37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A65D4-5BAE-45F6-AD09-6AB6FB0E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A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A37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Мидзяновская Ольга Викторовна</cp:lastModifiedBy>
  <cp:revision>1</cp:revision>
  <dcterms:created xsi:type="dcterms:W3CDTF">2025-03-05T12:19:00Z</dcterms:created>
  <dcterms:modified xsi:type="dcterms:W3CDTF">2025-03-05T12:21:00Z</dcterms:modified>
</cp:coreProperties>
</file>